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32" w:rsidRPr="00712760" w:rsidRDefault="00D57332" w:rsidP="005D3A11">
      <w:pPr>
        <w:jc w:val="center"/>
        <w:rPr>
          <w:rFonts w:ascii="Arial" w:hAnsi="Arial" w:cs="Arial"/>
        </w:rPr>
      </w:pPr>
      <w:r w:rsidRPr="00712760">
        <w:rPr>
          <w:rFonts w:ascii="Arial" w:hAnsi="Arial" w:cs="Arial"/>
        </w:rPr>
        <w:t xml:space="preserve">INFORME DE </w:t>
      </w:r>
      <w:r w:rsidR="005D3A11" w:rsidRPr="00712760">
        <w:rPr>
          <w:rFonts w:ascii="Arial" w:hAnsi="Arial" w:cs="Arial"/>
        </w:rPr>
        <w:t>AUSTERIDAD Y</w:t>
      </w:r>
      <w:r w:rsidRPr="00712760">
        <w:rPr>
          <w:rFonts w:ascii="Arial" w:hAnsi="Arial" w:cs="Arial"/>
        </w:rPr>
        <w:t xml:space="preserve"> EFICIENCIA EN EL GASTO PÚBLICO</w:t>
      </w:r>
      <w:r w:rsidR="00700AC4">
        <w:rPr>
          <w:rFonts w:ascii="Arial" w:hAnsi="Arial" w:cs="Arial"/>
        </w:rPr>
        <w:t xml:space="preserve"> </w:t>
      </w:r>
      <w:r w:rsidR="00F0461B">
        <w:rPr>
          <w:rFonts w:ascii="Arial" w:hAnsi="Arial" w:cs="Arial"/>
        </w:rPr>
        <w:t>COMPARA</w:t>
      </w:r>
      <w:r w:rsidR="00726114">
        <w:rPr>
          <w:rFonts w:ascii="Arial" w:hAnsi="Arial" w:cs="Arial"/>
        </w:rPr>
        <w:t>TIVO AÑOS 2020-2021</w:t>
      </w:r>
      <w:r w:rsidR="005D3A11">
        <w:rPr>
          <w:rFonts w:ascii="Arial" w:hAnsi="Arial" w:cs="Arial"/>
        </w:rPr>
        <w:t xml:space="preserve"> ACUMULADO A LOS</w:t>
      </w:r>
      <w:r w:rsidR="00D32DDA">
        <w:rPr>
          <w:rFonts w:ascii="Arial" w:hAnsi="Arial" w:cs="Arial"/>
        </w:rPr>
        <w:t xml:space="preserve"> MES</w:t>
      </w:r>
      <w:r w:rsidR="005D3A11">
        <w:rPr>
          <w:rFonts w:ascii="Arial" w:hAnsi="Arial" w:cs="Arial"/>
        </w:rPr>
        <w:t>ES</w:t>
      </w:r>
      <w:r w:rsidR="00D32DDA">
        <w:rPr>
          <w:rFonts w:ascii="Arial" w:hAnsi="Arial" w:cs="Arial"/>
        </w:rPr>
        <w:t xml:space="preserve"> DE SEPTIEMBRE</w:t>
      </w:r>
    </w:p>
    <w:p w:rsidR="00D57332" w:rsidRPr="00712760" w:rsidRDefault="00D57332" w:rsidP="00D57332">
      <w:pPr>
        <w:rPr>
          <w:rFonts w:ascii="Arial" w:hAnsi="Arial" w:cs="Arial"/>
          <w:b w:val="0"/>
        </w:rPr>
      </w:pPr>
    </w:p>
    <w:p w:rsidR="00D57332" w:rsidRPr="00712760" w:rsidRDefault="00D57332" w:rsidP="00D57332">
      <w:pPr>
        <w:jc w:val="both"/>
        <w:rPr>
          <w:rFonts w:ascii="Arial" w:hAnsi="Arial" w:cs="Arial"/>
          <w:b w:val="0"/>
        </w:rPr>
      </w:pPr>
      <w:r w:rsidRPr="00712760">
        <w:rPr>
          <w:rFonts w:ascii="Arial" w:hAnsi="Arial" w:cs="Arial"/>
          <w:b w:val="0"/>
        </w:rPr>
        <w:t xml:space="preserve">La Oficina de Control Interno, dando cumplimiento a lo establecido en el </w:t>
      </w:r>
      <w:r w:rsidR="00A44EA1" w:rsidRPr="00712760">
        <w:rPr>
          <w:rFonts w:ascii="Arial" w:hAnsi="Arial" w:cs="Arial"/>
          <w:b w:val="0"/>
        </w:rPr>
        <w:t>Decreto Nacional</w:t>
      </w:r>
      <w:r w:rsidRPr="00712760">
        <w:rPr>
          <w:rFonts w:ascii="Arial" w:hAnsi="Arial" w:cs="Arial"/>
          <w:b w:val="0"/>
        </w:rPr>
        <w:t xml:space="preserve"> N° 984 de mayo 14 de 2012, por medio de la cual se dictan </w:t>
      </w:r>
      <w:r w:rsidR="00A44EA1" w:rsidRPr="00712760">
        <w:rPr>
          <w:rFonts w:ascii="Arial" w:hAnsi="Arial" w:cs="Arial"/>
          <w:b w:val="0"/>
        </w:rPr>
        <w:t>medidas de</w:t>
      </w:r>
      <w:r w:rsidRPr="00712760">
        <w:rPr>
          <w:rFonts w:ascii="Arial" w:hAnsi="Arial" w:cs="Arial"/>
          <w:b w:val="0"/>
        </w:rPr>
        <w:t xml:space="preserve"> austeridad y eficiencia en el </w:t>
      </w:r>
      <w:r w:rsidR="00A44EA1" w:rsidRPr="00712760">
        <w:rPr>
          <w:rFonts w:ascii="Arial" w:hAnsi="Arial" w:cs="Arial"/>
          <w:b w:val="0"/>
        </w:rPr>
        <w:t>gasto público</w:t>
      </w:r>
      <w:r w:rsidRPr="00712760">
        <w:rPr>
          <w:rFonts w:ascii="Arial" w:hAnsi="Arial" w:cs="Arial"/>
          <w:b w:val="0"/>
        </w:rPr>
        <w:t>, presenta el siguiente informe</w:t>
      </w:r>
      <w:r w:rsidR="00B66FA1">
        <w:rPr>
          <w:rFonts w:ascii="Arial" w:hAnsi="Arial" w:cs="Arial"/>
          <w:b w:val="0"/>
        </w:rPr>
        <w:t xml:space="preserve"> comparativo,</w:t>
      </w:r>
      <w:r w:rsidRPr="00712760">
        <w:rPr>
          <w:rFonts w:ascii="Arial" w:hAnsi="Arial" w:cs="Arial"/>
          <w:b w:val="0"/>
        </w:rPr>
        <w:t xml:space="preserve"> con el fin de mostr</w:t>
      </w:r>
      <w:r w:rsidR="00B66FA1">
        <w:rPr>
          <w:rFonts w:ascii="Arial" w:hAnsi="Arial" w:cs="Arial"/>
          <w:b w:val="0"/>
        </w:rPr>
        <w:t>ar los resultados obtenidos</w:t>
      </w:r>
      <w:r w:rsidRPr="00712760">
        <w:rPr>
          <w:rFonts w:ascii="Arial" w:hAnsi="Arial" w:cs="Arial"/>
          <w:b w:val="0"/>
        </w:rPr>
        <w:t xml:space="preserve"> </w:t>
      </w:r>
      <w:r w:rsidR="00B66FA1">
        <w:rPr>
          <w:rFonts w:ascii="Arial" w:hAnsi="Arial" w:cs="Arial"/>
          <w:b w:val="0"/>
        </w:rPr>
        <w:t>del</w:t>
      </w:r>
      <w:r w:rsidRPr="00712760">
        <w:rPr>
          <w:rFonts w:ascii="Arial" w:hAnsi="Arial" w:cs="Arial"/>
          <w:b w:val="0"/>
        </w:rPr>
        <w:t xml:space="preserve"> manejo de los recursos durante </w:t>
      </w:r>
      <w:r w:rsidR="00A44EA1">
        <w:rPr>
          <w:rFonts w:ascii="Arial" w:hAnsi="Arial" w:cs="Arial"/>
          <w:b w:val="0"/>
        </w:rPr>
        <w:t xml:space="preserve">los años </w:t>
      </w:r>
      <w:r w:rsidR="00726114">
        <w:rPr>
          <w:rFonts w:ascii="Arial" w:hAnsi="Arial" w:cs="Arial"/>
          <w:b w:val="0"/>
        </w:rPr>
        <w:t>2020-2021</w:t>
      </w:r>
      <w:r w:rsidR="00F0461B">
        <w:rPr>
          <w:rFonts w:ascii="Arial" w:hAnsi="Arial" w:cs="Arial"/>
          <w:b w:val="0"/>
        </w:rPr>
        <w:t xml:space="preserve"> al</w:t>
      </w:r>
      <w:r w:rsidR="00D32DDA">
        <w:rPr>
          <w:rFonts w:ascii="Arial" w:hAnsi="Arial" w:cs="Arial"/>
          <w:b w:val="0"/>
        </w:rPr>
        <w:t xml:space="preserve"> mes de septiembre</w:t>
      </w:r>
      <w:r w:rsidR="00F0461B">
        <w:rPr>
          <w:rFonts w:ascii="Arial" w:hAnsi="Arial" w:cs="Arial"/>
          <w:b w:val="0"/>
        </w:rPr>
        <w:t xml:space="preserve"> de cada año.</w:t>
      </w:r>
    </w:p>
    <w:p w:rsidR="00D57332" w:rsidRPr="00712760" w:rsidRDefault="00D57332" w:rsidP="00D57332">
      <w:pPr>
        <w:rPr>
          <w:rFonts w:ascii="Arial" w:hAnsi="Arial" w:cs="Arial"/>
          <w:b w:val="0"/>
        </w:rPr>
      </w:pPr>
    </w:p>
    <w:p w:rsidR="00D57332" w:rsidRDefault="00D57332" w:rsidP="00D57332">
      <w:pPr>
        <w:rPr>
          <w:rFonts w:ascii="Arial" w:hAnsi="Arial" w:cs="Arial"/>
        </w:rPr>
      </w:pPr>
      <w:r w:rsidRPr="00712760">
        <w:rPr>
          <w:rFonts w:ascii="Arial" w:hAnsi="Arial" w:cs="Arial"/>
        </w:rPr>
        <w:t>OBJETIVO</w:t>
      </w:r>
    </w:p>
    <w:p w:rsidR="00B66FA1" w:rsidRPr="00712760" w:rsidRDefault="00B66FA1" w:rsidP="00D57332">
      <w:pPr>
        <w:rPr>
          <w:rFonts w:ascii="Arial" w:hAnsi="Arial" w:cs="Arial"/>
        </w:rPr>
      </w:pPr>
    </w:p>
    <w:p w:rsidR="00D57332" w:rsidRPr="00712760" w:rsidRDefault="00D57332" w:rsidP="00D57332">
      <w:pPr>
        <w:jc w:val="both"/>
        <w:rPr>
          <w:rFonts w:ascii="Arial" w:hAnsi="Arial" w:cs="Arial"/>
          <w:b w:val="0"/>
        </w:rPr>
      </w:pPr>
      <w:r w:rsidRPr="00712760">
        <w:rPr>
          <w:rFonts w:ascii="Arial" w:hAnsi="Arial" w:cs="Arial"/>
          <w:b w:val="0"/>
        </w:rPr>
        <w:t xml:space="preserve">Consolidar  y analizar </w:t>
      </w:r>
      <w:r w:rsidR="00B66FA1">
        <w:rPr>
          <w:rFonts w:ascii="Arial" w:hAnsi="Arial" w:cs="Arial"/>
          <w:b w:val="0"/>
        </w:rPr>
        <w:t>la información presentada por la Subdirección Administrativa y Financiera del INDERBU</w:t>
      </w:r>
      <w:r w:rsidRPr="00712760">
        <w:rPr>
          <w:rFonts w:ascii="Arial" w:hAnsi="Arial" w:cs="Arial"/>
          <w:b w:val="0"/>
        </w:rPr>
        <w:t xml:space="preserve">,  </w:t>
      </w:r>
      <w:r w:rsidR="00B66FA1">
        <w:rPr>
          <w:rFonts w:ascii="Arial" w:hAnsi="Arial" w:cs="Arial"/>
          <w:b w:val="0"/>
        </w:rPr>
        <w:t>para</w:t>
      </w:r>
      <w:r w:rsidRPr="00712760">
        <w:rPr>
          <w:rFonts w:ascii="Arial" w:hAnsi="Arial" w:cs="Arial"/>
          <w:b w:val="0"/>
        </w:rPr>
        <w:t xml:space="preserve"> establecer la austeridad y eficiencia en el gasto público </w:t>
      </w:r>
      <w:r w:rsidR="00B66FA1" w:rsidRPr="00712760">
        <w:rPr>
          <w:rFonts w:ascii="Arial" w:hAnsi="Arial" w:cs="Arial"/>
          <w:b w:val="0"/>
        </w:rPr>
        <w:t>de</w:t>
      </w:r>
      <w:r w:rsidRPr="00712760">
        <w:rPr>
          <w:rFonts w:ascii="Arial" w:hAnsi="Arial" w:cs="Arial"/>
          <w:b w:val="0"/>
        </w:rPr>
        <w:t xml:space="preserve"> </w:t>
      </w:r>
      <w:r w:rsidR="00B66FA1">
        <w:rPr>
          <w:rFonts w:ascii="Arial" w:hAnsi="Arial" w:cs="Arial"/>
          <w:b w:val="0"/>
        </w:rPr>
        <w:t>la Institución</w:t>
      </w:r>
      <w:r w:rsidRPr="00712760">
        <w:rPr>
          <w:rFonts w:ascii="Arial" w:hAnsi="Arial" w:cs="Arial"/>
          <w:b w:val="0"/>
        </w:rPr>
        <w:t>,  la cu</w:t>
      </w:r>
      <w:r w:rsidR="00666F5B">
        <w:rPr>
          <w:rFonts w:ascii="Arial" w:hAnsi="Arial" w:cs="Arial"/>
          <w:b w:val="0"/>
        </w:rPr>
        <w:t>al  sirve de apoyo  a  la alta D</w:t>
      </w:r>
      <w:r w:rsidRPr="00712760">
        <w:rPr>
          <w:rFonts w:ascii="Arial" w:hAnsi="Arial" w:cs="Arial"/>
          <w:b w:val="0"/>
        </w:rPr>
        <w:t>irecc</w:t>
      </w:r>
      <w:r w:rsidR="00B66FA1">
        <w:rPr>
          <w:rFonts w:ascii="Arial" w:hAnsi="Arial" w:cs="Arial"/>
          <w:b w:val="0"/>
        </w:rPr>
        <w:t>ión, en la toma de decisiones</w:t>
      </w:r>
      <w:r w:rsidRPr="00712760">
        <w:rPr>
          <w:rFonts w:ascii="Arial" w:hAnsi="Arial" w:cs="Arial"/>
          <w:b w:val="0"/>
        </w:rPr>
        <w:t xml:space="preserve"> y en el autocontrol de cada uno de los procesos en caminados a cumplir con la misión Institucional. </w:t>
      </w:r>
    </w:p>
    <w:p w:rsidR="00D57332" w:rsidRPr="00712760" w:rsidRDefault="00D57332" w:rsidP="00D57332">
      <w:pPr>
        <w:rPr>
          <w:rFonts w:ascii="Arial" w:hAnsi="Arial" w:cs="Arial"/>
          <w:b w:val="0"/>
        </w:rPr>
      </w:pPr>
    </w:p>
    <w:p w:rsidR="00D57332" w:rsidRDefault="00D57332" w:rsidP="00D57332">
      <w:pPr>
        <w:rPr>
          <w:rFonts w:ascii="Arial" w:hAnsi="Arial" w:cs="Arial"/>
        </w:rPr>
      </w:pPr>
      <w:r w:rsidRPr="00712760">
        <w:rPr>
          <w:rFonts w:ascii="Arial" w:hAnsi="Arial" w:cs="Arial"/>
        </w:rPr>
        <w:t>ALCANCE</w:t>
      </w:r>
    </w:p>
    <w:p w:rsidR="00B66FA1" w:rsidRPr="00712760" w:rsidRDefault="00B66FA1" w:rsidP="00D57332">
      <w:pPr>
        <w:rPr>
          <w:rFonts w:ascii="Arial" w:hAnsi="Arial" w:cs="Arial"/>
        </w:rPr>
      </w:pPr>
    </w:p>
    <w:p w:rsidR="00351E79" w:rsidRPr="00712760" w:rsidRDefault="00351E79" w:rsidP="00351E79">
      <w:pPr>
        <w:jc w:val="both"/>
        <w:rPr>
          <w:rFonts w:ascii="Arial" w:hAnsi="Arial" w:cs="Arial"/>
          <w:b w:val="0"/>
        </w:rPr>
      </w:pPr>
      <w:r w:rsidRPr="00712760">
        <w:rPr>
          <w:rFonts w:ascii="Arial" w:hAnsi="Arial" w:cs="Arial"/>
          <w:b w:val="0"/>
        </w:rPr>
        <w:t>Efectuar seguimiento</w:t>
      </w:r>
      <w:r>
        <w:rPr>
          <w:rFonts w:ascii="Arial" w:hAnsi="Arial" w:cs="Arial"/>
          <w:b w:val="0"/>
        </w:rPr>
        <w:t xml:space="preserve"> anual</w:t>
      </w:r>
      <w:r w:rsidRPr="00712760">
        <w:rPr>
          <w:rFonts w:ascii="Arial" w:hAnsi="Arial" w:cs="Arial"/>
          <w:b w:val="0"/>
        </w:rPr>
        <w:t xml:space="preserve"> a la ejecución del gasto en el INDERBU. en el marco de la política de la austeridad del Gastos de funcionamiento</w:t>
      </w:r>
      <w:r>
        <w:rPr>
          <w:rFonts w:ascii="Arial" w:hAnsi="Arial" w:cs="Arial"/>
          <w:b w:val="0"/>
        </w:rPr>
        <w:t>,</w:t>
      </w:r>
      <w:r w:rsidRPr="00712760">
        <w:rPr>
          <w:rFonts w:ascii="Arial" w:hAnsi="Arial" w:cs="Arial"/>
          <w:b w:val="0"/>
        </w:rPr>
        <w:t xml:space="preserve"> acumulados en gastos de </w:t>
      </w:r>
      <w:r>
        <w:rPr>
          <w:rFonts w:ascii="Arial" w:hAnsi="Arial" w:cs="Arial"/>
          <w:b w:val="0"/>
          <w:color w:val="000000"/>
          <w:lang w:val="es-ES" w:eastAsia="es-ES"/>
        </w:rPr>
        <w:t>N</w:t>
      </w:r>
      <w:r w:rsidRPr="004B42B7">
        <w:rPr>
          <w:rFonts w:ascii="Arial" w:hAnsi="Arial" w:cs="Arial"/>
          <w:b w:val="0"/>
          <w:color w:val="000000"/>
          <w:lang w:val="es-ES" w:eastAsia="es-ES"/>
        </w:rPr>
        <w:t>omina</w:t>
      </w:r>
      <w:r w:rsidRPr="00B66FA1">
        <w:rPr>
          <w:rFonts w:ascii="Arial" w:hAnsi="Arial" w:cs="Arial"/>
          <w:b w:val="0"/>
        </w:rPr>
        <w:t>,</w:t>
      </w:r>
      <w:r>
        <w:rPr>
          <w:rFonts w:ascii="Arial" w:hAnsi="Arial" w:cs="Arial"/>
          <w:b w:val="0"/>
        </w:rPr>
        <w:t xml:space="preserve"> para la nueva calificación de servicios según </w:t>
      </w:r>
      <w:r w:rsidR="00700AC4">
        <w:rPr>
          <w:rFonts w:ascii="Arial" w:hAnsi="Arial" w:cs="Arial"/>
          <w:b w:val="0"/>
        </w:rPr>
        <w:t>Ministerio de Hacienda</w:t>
      </w:r>
      <w:r w:rsidRPr="0054117D">
        <w:rPr>
          <w:rFonts w:ascii="Arial" w:hAnsi="Arial" w:cs="Arial"/>
          <w:b w:val="0"/>
        </w:rPr>
        <w:t xml:space="preserve"> </w:t>
      </w:r>
      <w:r>
        <w:rPr>
          <w:rFonts w:ascii="Arial" w:hAnsi="Arial" w:cs="Arial"/>
          <w:b w:val="0"/>
        </w:rPr>
        <w:t>(</w:t>
      </w:r>
      <w:r w:rsidRPr="0054117D">
        <w:rPr>
          <w:rFonts w:ascii="Arial" w:hAnsi="Arial" w:cs="Arial"/>
          <w:b w:val="0"/>
          <w:color w:val="000000"/>
          <w:lang w:val="es-ES" w:eastAsia="es-ES"/>
        </w:rPr>
        <w:t xml:space="preserve">Factores constitutivos y no </w:t>
      </w:r>
      <w:proofErr w:type="spellStart"/>
      <w:r w:rsidRPr="0054117D">
        <w:rPr>
          <w:rFonts w:ascii="Arial" w:hAnsi="Arial" w:cs="Arial"/>
          <w:b w:val="0"/>
          <w:color w:val="000000"/>
          <w:lang w:val="es-ES" w:eastAsia="es-ES"/>
        </w:rPr>
        <w:t>const.</w:t>
      </w:r>
      <w:proofErr w:type="spellEnd"/>
      <w:r w:rsidRPr="0054117D">
        <w:rPr>
          <w:rFonts w:ascii="Arial" w:hAnsi="Arial" w:cs="Arial"/>
          <w:b w:val="0"/>
          <w:color w:val="000000"/>
          <w:lang w:val="es-ES" w:eastAsia="es-ES"/>
        </w:rPr>
        <w:t xml:space="preserve"> de salario</w:t>
      </w:r>
      <w:r>
        <w:rPr>
          <w:rFonts w:ascii="Calibri" w:hAnsi="Calibri" w:cs="Calibri"/>
          <w:b w:val="0"/>
          <w:color w:val="000000"/>
          <w:lang w:val="es-ES" w:eastAsia="es-ES"/>
        </w:rPr>
        <w:t>);</w:t>
      </w:r>
      <w:r w:rsidRPr="00B66FA1">
        <w:rPr>
          <w:rFonts w:ascii="Arial" w:hAnsi="Arial" w:cs="Arial"/>
          <w:b w:val="0"/>
          <w:color w:val="000000"/>
          <w:lang w:val="es-ES" w:eastAsia="es-ES"/>
        </w:rPr>
        <w:t xml:space="preserve"> </w:t>
      </w:r>
      <w:r>
        <w:rPr>
          <w:rFonts w:ascii="Arial" w:hAnsi="Arial" w:cs="Arial"/>
          <w:b w:val="0"/>
          <w:color w:val="000000"/>
          <w:lang w:val="es-ES" w:eastAsia="es-ES"/>
        </w:rPr>
        <w:t>I</w:t>
      </w:r>
      <w:r w:rsidRPr="004B42B7">
        <w:rPr>
          <w:rFonts w:ascii="Arial" w:hAnsi="Arial" w:cs="Arial"/>
          <w:b w:val="0"/>
          <w:color w:val="000000"/>
          <w:lang w:val="es-ES" w:eastAsia="es-ES"/>
        </w:rPr>
        <w:t>ndemnización por vacaciones</w:t>
      </w:r>
      <w:r>
        <w:rPr>
          <w:rFonts w:ascii="Arial" w:hAnsi="Arial" w:cs="Arial"/>
          <w:b w:val="0"/>
          <w:color w:val="000000"/>
          <w:lang w:val="es-ES" w:eastAsia="es-ES"/>
        </w:rPr>
        <w:t>;</w:t>
      </w:r>
      <w:r w:rsidRPr="00B66FA1">
        <w:rPr>
          <w:rFonts w:ascii="Arial" w:hAnsi="Arial" w:cs="Arial"/>
          <w:b w:val="0"/>
        </w:rPr>
        <w:t xml:space="preserve"> </w:t>
      </w:r>
      <w:r>
        <w:rPr>
          <w:rFonts w:ascii="Arial" w:hAnsi="Arial" w:cs="Arial"/>
          <w:b w:val="0"/>
          <w:color w:val="000000"/>
          <w:lang w:val="es-ES" w:eastAsia="es-ES"/>
        </w:rPr>
        <w:t>O</w:t>
      </w:r>
      <w:r w:rsidRPr="004B42B7">
        <w:rPr>
          <w:rFonts w:ascii="Arial" w:hAnsi="Arial" w:cs="Arial"/>
          <w:b w:val="0"/>
          <w:color w:val="000000"/>
          <w:lang w:val="es-ES" w:eastAsia="es-ES"/>
        </w:rPr>
        <w:t>tros servicios personales</w:t>
      </w:r>
      <w:r>
        <w:rPr>
          <w:rFonts w:ascii="Arial" w:hAnsi="Arial" w:cs="Arial"/>
          <w:b w:val="0"/>
          <w:color w:val="000000"/>
          <w:lang w:val="es-ES" w:eastAsia="es-ES"/>
        </w:rPr>
        <w:t xml:space="preserve">, </w:t>
      </w:r>
      <w:r>
        <w:rPr>
          <w:rFonts w:ascii="Arial" w:hAnsi="Arial" w:cs="Arial"/>
          <w:b w:val="0"/>
        </w:rPr>
        <w:t xml:space="preserve">para la nueva calificación de servicios según </w:t>
      </w:r>
      <w:r w:rsidR="00700AC4">
        <w:rPr>
          <w:rFonts w:ascii="Arial" w:hAnsi="Arial" w:cs="Arial"/>
          <w:b w:val="0"/>
        </w:rPr>
        <w:t>Ministerio de Hacienda</w:t>
      </w:r>
      <w:r w:rsidR="00700AC4" w:rsidRPr="0054117D">
        <w:rPr>
          <w:rFonts w:ascii="Arial" w:hAnsi="Arial" w:cs="Arial"/>
          <w:b w:val="0"/>
        </w:rPr>
        <w:t xml:space="preserve"> </w:t>
      </w:r>
      <w:r w:rsidRPr="0054117D">
        <w:rPr>
          <w:rFonts w:ascii="Arial" w:hAnsi="Arial" w:cs="Arial"/>
          <w:b w:val="0"/>
          <w:color w:val="000000"/>
          <w:lang w:val="es-ES" w:eastAsia="es-ES"/>
        </w:rPr>
        <w:t>(Otros bienes transportables)</w:t>
      </w:r>
      <w:r>
        <w:rPr>
          <w:rFonts w:ascii="Arial" w:hAnsi="Arial" w:cs="Arial"/>
          <w:b w:val="0"/>
          <w:color w:val="000000"/>
          <w:lang w:val="es-ES" w:eastAsia="es-ES"/>
        </w:rPr>
        <w:t>;</w:t>
      </w:r>
      <w:r w:rsidRPr="00B66FA1">
        <w:rPr>
          <w:rFonts w:ascii="Arial" w:hAnsi="Arial" w:cs="Arial"/>
          <w:b w:val="0"/>
          <w:color w:val="000000"/>
          <w:lang w:val="es-ES" w:eastAsia="es-ES"/>
        </w:rPr>
        <w:t xml:space="preserve"> </w:t>
      </w:r>
      <w:r>
        <w:rPr>
          <w:rFonts w:ascii="Arial" w:hAnsi="Arial" w:cs="Arial"/>
          <w:b w:val="0"/>
          <w:color w:val="000000"/>
          <w:lang w:val="es-ES" w:eastAsia="es-ES"/>
        </w:rPr>
        <w:t>Honorarios (C.P.S</w:t>
      </w:r>
      <w:r w:rsidRPr="004B42B7">
        <w:rPr>
          <w:rFonts w:ascii="Arial" w:hAnsi="Arial" w:cs="Arial"/>
          <w:b w:val="0"/>
          <w:color w:val="000000"/>
          <w:lang w:val="es-ES" w:eastAsia="es-ES"/>
        </w:rPr>
        <w:t>)</w:t>
      </w:r>
      <w:r>
        <w:rPr>
          <w:rFonts w:ascii="Arial" w:hAnsi="Arial" w:cs="Arial"/>
          <w:b w:val="0"/>
          <w:color w:val="000000"/>
          <w:lang w:val="es-ES" w:eastAsia="es-ES"/>
        </w:rPr>
        <w:t>,</w:t>
      </w:r>
      <w:r w:rsidRPr="00B66FA1">
        <w:rPr>
          <w:rFonts w:ascii="Arial" w:hAnsi="Arial" w:cs="Arial"/>
          <w:b w:val="0"/>
        </w:rPr>
        <w:t xml:space="preserve"> </w:t>
      </w:r>
      <w:r>
        <w:rPr>
          <w:rFonts w:ascii="Arial" w:hAnsi="Arial" w:cs="Arial"/>
          <w:b w:val="0"/>
          <w:color w:val="000000"/>
          <w:lang w:val="es-ES" w:eastAsia="es-ES"/>
        </w:rPr>
        <w:t xml:space="preserve"> </w:t>
      </w:r>
      <w:r>
        <w:rPr>
          <w:rFonts w:ascii="Arial" w:hAnsi="Arial" w:cs="Arial"/>
          <w:b w:val="0"/>
        </w:rPr>
        <w:t xml:space="preserve">para la nueva calificación de servicios </w:t>
      </w:r>
      <w:r w:rsidR="00700AC4">
        <w:rPr>
          <w:rFonts w:ascii="Arial" w:hAnsi="Arial" w:cs="Arial"/>
          <w:b w:val="0"/>
        </w:rPr>
        <w:t>Ministerio de Hacienda</w:t>
      </w:r>
      <w:r w:rsidR="00700AC4" w:rsidRPr="0054117D">
        <w:rPr>
          <w:rFonts w:ascii="Arial" w:hAnsi="Arial" w:cs="Arial"/>
          <w:b w:val="0"/>
        </w:rPr>
        <w:t xml:space="preserve"> </w:t>
      </w:r>
      <w:r>
        <w:rPr>
          <w:rFonts w:ascii="Arial" w:hAnsi="Arial" w:cs="Arial"/>
          <w:b w:val="0"/>
          <w:color w:val="000000"/>
          <w:lang w:val="es-ES" w:eastAsia="es-ES"/>
        </w:rPr>
        <w:t>(</w:t>
      </w:r>
      <w:r w:rsidRPr="0054117D">
        <w:rPr>
          <w:rFonts w:ascii="Arial" w:hAnsi="Arial" w:cs="Arial"/>
          <w:b w:val="0"/>
          <w:color w:val="000000"/>
          <w:lang w:val="es-ES" w:eastAsia="es-ES"/>
        </w:rPr>
        <w:t>Servicios de alojamiento; servicios de suministro de comidas y bebidas; servicios de transporte; y servicios de distribución de electricidad, gas y agua</w:t>
      </w:r>
      <w:r>
        <w:rPr>
          <w:rFonts w:ascii="Arial" w:hAnsi="Arial" w:cs="Arial"/>
          <w:b w:val="0"/>
          <w:color w:val="000000"/>
          <w:lang w:val="es-ES" w:eastAsia="es-ES"/>
        </w:rPr>
        <w:t>)</w:t>
      </w:r>
      <w:r>
        <w:rPr>
          <w:rFonts w:ascii="Calibri" w:hAnsi="Calibri" w:cs="Calibri"/>
          <w:b w:val="0"/>
          <w:color w:val="000000"/>
          <w:sz w:val="20"/>
          <w:szCs w:val="22"/>
          <w:lang w:val="es-ES" w:eastAsia="es-ES"/>
        </w:rPr>
        <w:t>;</w:t>
      </w:r>
      <w:r>
        <w:rPr>
          <w:rFonts w:ascii="Arial" w:hAnsi="Arial" w:cs="Arial"/>
          <w:b w:val="0"/>
          <w:color w:val="000000"/>
          <w:lang w:val="es-ES" w:eastAsia="es-ES"/>
        </w:rPr>
        <w:t xml:space="preserve"> V</w:t>
      </w:r>
      <w:r w:rsidRPr="004B42B7">
        <w:rPr>
          <w:rFonts w:ascii="Arial" w:hAnsi="Arial" w:cs="Arial"/>
          <w:b w:val="0"/>
          <w:color w:val="000000"/>
          <w:lang w:val="es-ES" w:eastAsia="es-ES"/>
        </w:rPr>
        <w:t>iáticos</w:t>
      </w:r>
      <w:r>
        <w:rPr>
          <w:rFonts w:ascii="Arial" w:hAnsi="Arial" w:cs="Arial"/>
          <w:b w:val="0"/>
          <w:color w:val="000000"/>
          <w:lang w:val="es-ES" w:eastAsia="es-ES"/>
        </w:rPr>
        <w:t xml:space="preserve"> y</w:t>
      </w:r>
      <w:r w:rsidRPr="00B66FA1">
        <w:rPr>
          <w:rFonts w:ascii="Arial" w:hAnsi="Arial" w:cs="Arial"/>
          <w:b w:val="0"/>
        </w:rPr>
        <w:t xml:space="preserve"> </w:t>
      </w:r>
      <w:r>
        <w:rPr>
          <w:rFonts w:ascii="Arial" w:hAnsi="Arial" w:cs="Arial"/>
          <w:b w:val="0"/>
          <w:color w:val="000000"/>
          <w:lang w:val="es-ES" w:eastAsia="es-ES"/>
        </w:rPr>
        <w:t>G</w:t>
      </w:r>
      <w:r w:rsidRPr="004B42B7">
        <w:rPr>
          <w:rFonts w:ascii="Arial" w:hAnsi="Arial" w:cs="Arial"/>
          <w:b w:val="0"/>
          <w:color w:val="000000"/>
          <w:lang w:val="es-ES" w:eastAsia="es-ES"/>
        </w:rPr>
        <w:t>astos de viaje</w:t>
      </w:r>
      <w:r>
        <w:rPr>
          <w:rFonts w:ascii="Arial" w:hAnsi="Arial" w:cs="Arial"/>
          <w:b w:val="0"/>
          <w:color w:val="000000"/>
          <w:lang w:val="es-ES" w:eastAsia="es-ES"/>
        </w:rPr>
        <w:t>;</w:t>
      </w:r>
      <w:r w:rsidRPr="00B66FA1">
        <w:rPr>
          <w:rFonts w:ascii="Arial" w:hAnsi="Arial" w:cs="Arial"/>
          <w:b w:val="0"/>
          <w:color w:val="000000"/>
          <w:lang w:val="es-ES" w:eastAsia="es-ES"/>
        </w:rPr>
        <w:t xml:space="preserve"> </w:t>
      </w:r>
      <w:r>
        <w:rPr>
          <w:rFonts w:ascii="Arial" w:hAnsi="Arial" w:cs="Arial"/>
          <w:b w:val="0"/>
          <w:color w:val="000000"/>
          <w:lang w:val="es-ES" w:eastAsia="es-ES"/>
        </w:rPr>
        <w:t>servicios p</w:t>
      </w:r>
      <w:r w:rsidRPr="004B42B7">
        <w:rPr>
          <w:rFonts w:ascii="Arial" w:hAnsi="Arial" w:cs="Arial"/>
          <w:b w:val="0"/>
          <w:color w:val="000000"/>
          <w:lang w:val="es-ES" w:eastAsia="es-ES"/>
        </w:rPr>
        <w:t>úblicos</w:t>
      </w:r>
      <w:r>
        <w:rPr>
          <w:rFonts w:ascii="Arial" w:hAnsi="Arial" w:cs="Arial"/>
          <w:b w:val="0"/>
          <w:color w:val="000000"/>
          <w:lang w:val="es-ES" w:eastAsia="es-ES"/>
        </w:rPr>
        <w:t xml:space="preserve">, </w:t>
      </w:r>
      <w:r>
        <w:rPr>
          <w:rFonts w:ascii="Arial" w:hAnsi="Arial" w:cs="Arial"/>
          <w:b w:val="0"/>
        </w:rPr>
        <w:t xml:space="preserve">para la nueva calificación de servicios según </w:t>
      </w:r>
      <w:r w:rsidR="00700AC4">
        <w:rPr>
          <w:rFonts w:ascii="Arial" w:hAnsi="Arial" w:cs="Arial"/>
          <w:b w:val="0"/>
        </w:rPr>
        <w:t>Ministerio de Hacienda</w:t>
      </w:r>
      <w:r w:rsidR="00700AC4" w:rsidRPr="0054117D">
        <w:rPr>
          <w:rFonts w:ascii="Arial" w:hAnsi="Arial" w:cs="Arial"/>
          <w:b w:val="0"/>
        </w:rPr>
        <w:t xml:space="preserve"> </w:t>
      </w:r>
      <w:r>
        <w:rPr>
          <w:rFonts w:ascii="Arial" w:hAnsi="Arial" w:cs="Arial"/>
          <w:b w:val="0"/>
          <w:color w:val="000000"/>
          <w:lang w:val="es-ES" w:eastAsia="es-ES"/>
        </w:rPr>
        <w:t>(</w:t>
      </w:r>
      <w:r w:rsidRPr="0054117D">
        <w:rPr>
          <w:rFonts w:ascii="Arial" w:hAnsi="Arial" w:cs="Arial"/>
          <w:b w:val="0"/>
          <w:color w:val="000000"/>
          <w:lang w:val="es-ES" w:eastAsia="es-ES"/>
        </w:rPr>
        <w:t>Servicios prestados a las empresas y servicios de producción</w:t>
      </w:r>
      <w:r>
        <w:rPr>
          <w:rFonts w:ascii="Arial" w:hAnsi="Arial" w:cs="Arial"/>
          <w:b w:val="0"/>
          <w:color w:val="000000"/>
          <w:lang w:val="es-ES" w:eastAsia="es-ES"/>
        </w:rPr>
        <w:t>);</w:t>
      </w:r>
      <w:r w:rsidRPr="0054117D">
        <w:rPr>
          <w:rFonts w:ascii="Arial" w:hAnsi="Arial" w:cs="Arial"/>
          <w:b w:val="0"/>
          <w:color w:val="000000"/>
          <w:lang w:val="es-ES" w:eastAsia="es-ES"/>
        </w:rPr>
        <w:t xml:space="preserve">  </w:t>
      </w:r>
      <w:r w:rsidRPr="004B42B7">
        <w:rPr>
          <w:rFonts w:ascii="Arial" w:hAnsi="Arial" w:cs="Arial"/>
          <w:b w:val="0"/>
          <w:color w:val="000000"/>
          <w:lang w:val="es-ES" w:eastAsia="es-ES"/>
        </w:rPr>
        <w:t>impresos y publicaciones</w:t>
      </w:r>
      <w:r>
        <w:rPr>
          <w:rFonts w:ascii="Arial" w:hAnsi="Arial" w:cs="Arial"/>
          <w:b w:val="0"/>
          <w:color w:val="000000"/>
          <w:lang w:val="es-ES" w:eastAsia="es-ES"/>
        </w:rPr>
        <w:t>;</w:t>
      </w:r>
      <w:r w:rsidRPr="00B66FA1">
        <w:rPr>
          <w:rFonts w:ascii="Arial" w:hAnsi="Arial" w:cs="Arial"/>
          <w:b w:val="0"/>
        </w:rPr>
        <w:t xml:space="preserve"> </w:t>
      </w:r>
      <w:r w:rsidRPr="004B42B7">
        <w:rPr>
          <w:rFonts w:ascii="Arial" w:hAnsi="Arial" w:cs="Arial"/>
          <w:b w:val="0"/>
          <w:color w:val="000000"/>
          <w:lang w:val="es-ES" w:eastAsia="es-ES"/>
        </w:rPr>
        <w:t>combustible y lubricantes</w:t>
      </w:r>
      <w:r>
        <w:rPr>
          <w:rFonts w:ascii="Arial" w:hAnsi="Arial" w:cs="Arial"/>
          <w:b w:val="0"/>
          <w:color w:val="000000"/>
          <w:lang w:val="es-ES" w:eastAsia="es-ES"/>
        </w:rPr>
        <w:t>;</w:t>
      </w:r>
      <w:r w:rsidRPr="00B66FA1">
        <w:rPr>
          <w:rFonts w:ascii="Arial" w:hAnsi="Arial" w:cs="Arial"/>
          <w:b w:val="0"/>
        </w:rPr>
        <w:t xml:space="preserve"> </w:t>
      </w:r>
      <w:r w:rsidRPr="004B42B7">
        <w:rPr>
          <w:rFonts w:ascii="Arial" w:hAnsi="Arial" w:cs="Arial"/>
          <w:b w:val="0"/>
          <w:color w:val="000000"/>
          <w:lang w:val="es-ES" w:eastAsia="es-ES"/>
        </w:rPr>
        <w:t>papelería y útiles de escritorio</w:t>
      </w:r>
      <w:r>
        <w:rPr>
          <w:rFonts w:ascii="Arial" w:hAnsi="Arial" w:cs="Arial"/>
          <w:b w:val="0"/>
        </w:rPr>
        <w:t>;</w:t>
      </w:r>
      <w:r w:rsidRPr="00712760">
        <w:rPr>
          <w:rFonts w:ascii="Arial" w:hAnsi="Arial" w:cs="Arial"/>
          <w:b w:val="0"/>
        </w:rPr>
        <w:t xml:space="preserve"> asignación de teléfonos fijos y celulares y consumo de combustible.</w:t>
      </w:r>
    </w:p>
    <w:p w:rsidR="00D57332" w:rsidRPr="00712760" w:rsidRDefault="00D57332" w:rsidP="00D57332">
      <w:pPr>
        <w:jc w:val="both"/>
        <w:rPr>
          <w:rFonts w:ascii="Arial" w:hAnsi="Arial" w:cs="Arial"/>
          <w:b w:val="0"/>
        </w:rPr>
      </w:pPr>
    </w:p>
    <w:p w:rsidR="00D57332" w:rsidRDefault="00D57332" w:rsidP="00D57332">
      <w:pPr>
        <w:rPr>
          <w:rFonts w:ascii="Arial" w:hAnsi="Arial" w:cs="Arial"/>
        </w:rPr>
      </w:pPr>
      <w:r w:rsidRPr="00712760">
        <w:rPr>
          <w:rFonts w:ascii="Arial" w:hAnsi="Arial" w:cs="Arial"/>
        </w:rPr>
        <w:t>ESTRUCTURA Y METODOLOGIA</w:t>
      </w:r>
    </w:p>
    <w:p w:rsidR="00EC401D" w:rsidRPr="00712760" w:rsidRDefault="00EC401D" w:rsidP="00D57332">
      <w:pPr>
        <w:rPr>
          <w:rFonts w:ascii="Arial" w:hAnsi="Arial" w:cs="Arial"/>
        </w:rPr>
      </w:pPr>
    </w:p>
    <w:p w:rsidR="00721C7F" w:rsidRDefault="00D57332" w:rsidP="00D57332">
      <w:pPr>
        <w:jc w:val="both"/>
        <w:rPr>
          <w:rFonts w:ascii="Arial" w:hAnsi="Arial" w:cs="Arial"/>
          <w:b w:val="0"/>
        </w:rPr>
      </w:pPr>
      <w:r w:rsidRPr="00712760">
        <w:rPr>
          <w:rFonts w:ascii="Arial" w:hAnsi="Arial" w:cs="Arial"/>
          <w:b w:val="0"/>
        </w:rPr>
        <w:t>La estructura y metodología que contiene el informe está dada por  Oficina de Control Interno, la cual utilizó como herramientas de análisis los   valores pagados por concepto de nómina, Honorarios, CPS y otros servicios personales por contrato de prestación de servic</w:t>
      </w:r>
      <w:r w:rsidR="00EC401D">
        <w:rPr>
          <w:rFonts w:ascii="Arial" w:hAnsi="Arial" w:cs="Arial"/>
          <w:b w:val="0"/>
        </w:rPr>
        <w:t xml:space="preserve">ios ,la información fue por </w:t>
      </w:r>
      <w:r w:rsidRPr="00712760">
        <w:rPr>
          <w:rFonts w:ascii="Arial" w:hAnsi="Arial" w:cs="Arial"/>
          <w:b w:val="0"/>
        </w:rPr>
        <w:t>la</w:t>
      </w:r>
      <w:r w:rsidR="00EC401D">
        <w:rPr>
          <w:rFonts w:ascii="Arial" w:hAnsi="Arial" w:cs="Arial"/>
          <w:b w:val="0"/>
        </w:rPr>
        <w:t xml:space="preserve"> oficina de</w:t>
      </w:r>
      <w:r w:rsidRPr="00712760">
        <w:rPr>
          <w:rFonts w:ascii="Arial" w:hAnsi="Arial" w:cs="Arial"/>
          <w:b w:val="0"/>
        </w:rPr>
        <w:t xml:space="preserve"> Subdirección Administrativa y Financiera. </w:t>
      </w:r>
    </w:p>
    <w:p w:rsidR="00D57332" w:rsidRPr="00712760" w:rsidRDefault="00D57332" w:rsidP="00D57332">
      <w:pPr>
        <w:jc w:val="both"/>
        <w:rPr>
          <w:rFonts w:ascii="Arial" w:hAnsi="Arial" w:cs="Arial"/>
          <w:b w:val="0"/>
        </w:rPr>
      </w:pPr>
      <w:r w:rsidRPr="00712760">
        <w:rPr>
          <w:rFonts w:ascii="Arial" w:hAnsi="Arial" w:cs="Arial"/>
          <w:b w:val="0"/>
        </w:rPr>
        <w:t xml:space="preserve"> </w:t>
      </w:r>
    </w:p>
    <w:p w:rsidR="00D57332" w:rsidRPr="00712760" w:rsidRDefault="00D57332" w:rsidP="00D57332">
      <w:pPr>
        <w:jc w:val="both"/>
        <w:rPr>
          <w:rFonts w:ascii="Arial" w:hAnsi="Arial" w:cs="Arial"/>
          <w:b w:val="0"/>
        </w:rPr>
      </w:pPr>
      <w:r w:rsidRPr="00712760">
        <w:rPr>
          <w:rFonts w:ascii="Arial" w:hAnsi="Arial" w:cs="Arial"/>
          <w:b w:val="0"/>
        </w:rPr>
        <w:t>El cálculo de la estructura y metodología del informe contiene el a</w:t>
      </w:r>
      <w:r w:rsidR="00666F5B">
        <w:rPr>
          <w:rFonts w:ascii="Arial" w:hAnsi="Arial" w:cs="Arial"/>
          <w:b w:val="0"/>
        </w:rPr>
        <w:t>nálisis en la variación de los v</w:t>
      </w:r>
      <w:r w:rsidRPr="00712760">
        <w:rPr>
          <w:rFonts w:ascii="Arial" w:hAnsi="Arial" w:cs="Arial"/>
          <w:b w:val="0"/>
        </w:rPr>
        <w:t>alores relacionados con la administración de personal, contratación de servicios, uso de tel</w:t>
      </w:r>
      <w:r w:rsidR="00EC401D">
        <w:rPr>
          <w:rFonts w:ascii="Arial" w:hAnsi="Arial" w:cs="Arial"/>
          <w:b w:val="0"/>
        </w:rPr>
        <w:t>éfonos fijos y móviles de la</w:t>
      </w:r>
      <w:r w:rsidR="00666F5B">
        <w:rPr>
          <w:rFonts w:ascii="Arial" w:hAnsi="Arial" w:cs="Arial"/>
          <w:b w:val="0"/>
        </w:rPr>
        <w:t>s</w:t>
      </w:r>
      <w:r w:rsidR="00EC401D">
        <w:rPr>
          <w:rFonts w:ascii="Arial" w:hAnsi="Arial" w:cs="Arial"/>
          <w:b w:val="0"/>
        </w:rPr>
        <w:t xml:space="preserve"> </w:t>
      </w:r>
      <w:r w:rsidR="00A44EA1">
        <w:rPr>
          <w:rFonts w:ascii="Arial" w:hAnsi="Arial" w:cs="Arial"/>
          <w:b w:val="0"/>
        </w:rPr>
        <w:t xml:space="preserve">vigencias </w:t>
      </w:r>
      <w:r w:rsidR="00351E79">
        <w:rPr>
          <w:rFonts w:ascii="Arial" w:hAnsi="Arial" w:cs="Arial"/>
          <w:b w:val="0"/>
        </w:rPr>
        <w:t>2020-2021</w:t>
      </w:r>
      <w:r w:rsidR="00F0461B">
        <w:rPr>
          <w:rFonts w:ascii="Arial" w:hAnsi="Arial" w:cs="Arial"/>
          <w:b w:val="0"/>
        </w:rPr>
        <w:t xml:space="preserve"> comparando con los</w:t>
      </w:r>
      <w:r w:rsidR="00F0461B" w:rsidRPr="00F0461B">
        <w:rPr>
          <w:rFonts w:ascii="Arial" w:hAnsi="Arial" w:cs="Arial"/>
          <w:b w:val="0"/>
        </w:rPr>
        <w:t xml:space="preserve"> mes</w:t>
      </w:r>
      <w:r w:rsidR="00F0461B">
        <w:rPr>
          <w:rFonts w:ascii="Arial" w:hAnsi="Arial" w:cs="Arial"/>
          <w:b w:val="0"/>
        </w:rPr>
        <w:t>es</w:t>
      </w:r>
      <w:r w:rsidR="00F0461B" w:rsidRPr="00F0461B">
        <w:rPr>
          <w:rFonts w:ascii="Arial" w:hAnsi="Arial" w:cs="Arial"/>
          <w:b w:val="0"/>
        </w:rPr>
        <w:t xml:space="preserve"> de</w:t>
      </w:r>
      <w:r w:rsidR="00843E2C">
        <w:rPr>
          <w:rFonts w:ascii="Arial" w:hAnsi="Arial" w:cs="Arial"/>
          <w:b w:val="0"/>
        </w:rPr>
        <w:t xml:space="preserve"> </w:t>
      </w:r>
      <w:r w:rsidR="00D32DDA">
        <w:rPr>
          <w:rFonts w:ascii="Arial" w:hAnsi="Arial" w:cs="Arial"/>
          <w:b w:val="0"/>
        </w:rPr>
        <w:t>septiembre</w:t>
      </w:r>
      <w:r w:rsidR="00F0461B">
        <w:rPr>
          <w:rFonts w:ascii="Arial" w:hAnsi="Arial" w:cs="Arial"/>
          <w:b w:val="0"/>
        </w:rPr>
        <w:t xml:space="preserve"> de cada año</w:t>
      </w:r>
      <w:r w:rsidRPr="00712760">
        <w:rPr>
          <w:rFonts w:ascii="Arial" w:hAnsi="Arial" w:cs="Arial"/>
          <w:b w:val="0"/>
        </w:rPr>
        <w:t>.</w:t>
      </w:r>
    </w:p>
    <w:tbl>
      <w:tblPr>
        <w:tblW w:w="10063" w:type="dxa"/>
        <w:tblCellMar>
          <w:left w:w="70" w:type="dxa"/>
          <w:right w:w="70" w:type="dxa"/>
        </w:tblCellMar>
        <w:tblLook w:val="04A0" w:firstRow="1" w:lastRow="0" w:firstColumn="1" w:lastColumn="0" w:noHBand="0" w:noVBand="1"/>
      </w:tblPr>
      <w:tblGrid>
        <w:gridCol w:w="5734"/>
        <w:gridCol w:w="1361"/>
        <w:gridCol w:w="1017"/>
        <w:gridCol w:w="1017"/>
        <w:gridCol w:w="934"/>
      </w:tblGrid>
      <w:tr w:rsidR="00FD2429" w:rsidRPr="004B42B7" w:rsidTr="000748EF">
        <w:trPr>
          <w:trHeight w:val="300"/>
        </w:trPr>
        <w:tc>
          <w:tcPr>
            <w:tcW w:w="10063" w:type="dxa"/>
            <w:gridSpan w:val="5"/>
            <w:tcBorders>
              <w:top w:val="nil"/>
              <w:left w:val="nil"/>
              <w:bottom w:val="nil"/>
              <w:right w:val="nil"/>
            </w:tcBorders>
            <w:shd w:val="clear" w:color="000000" w:fill="C6E0B4"/>
            <w:noWrap/>
            <w:hideMark/>
          </w:tcPr>
          <w:tbl>
            <w:tblPr>
              <w:tblW w:w="10063" w:type="dxa"/>
              <w:tblCellMar>
                <w:left w:w="70" w:type="dxa"/>
                <w:right w:w="70" w:type="dxa"/>
              </w:tblCellMar>
              <w:tblLook w:val="04A0" w:firstRow="1" w:lastRow="0" w:firstColumn="1" w:lastColumn="0" w:noHBand="0" w:noVBand="1"/>
            </w:tblPr>
            <w:tblGrid>
              <w:gridCol w:w="1565"/>
              <w:gridCol w:w="140"/>
              <w:gridCol w:w="1791"/>
              <w:gridCol w:w="1398"/>
              <w:gridCol w:w="2039"/>
              <w:gridCol w:w="1564"/>
              <w:gridCol w:w="1426"/>
            </w:tblGrid>
            <w:tr w:rsidR="00FD2429" w:rsidRPr="000748EF" w:rsidTr="00FD2429">
              <w:trPr>
                <w:trHeight w:val="300"/>
              </w:trPr>
              <w:tc>
                <w:tcPr>
                  <w:tcW w:w="1587" w:type="dxa"/>
                  <w:tcBorders>
                    <w:top w:val="nil"/>
                    <w:left w:val="nil"/>
                    <w:bottom w:val="nil"/>
                    <w:right w:val="nil"/>
                  </w:tcBorders>
                  <w:shd w:val="clear" w:color="000000" w:fill="C6E0B4"/>
                  <w:vAlign w:val="center"/>
                </w:tcPr>
                <w:p w:rsidR="00FD2429" w:rsidRPr="000748EF" w:rsidRDefault="00FD2429" w:rsidP="00FD2429">
                  <w:pPr>
                    <w:rPr>
                      <w:rFonts w:asciiTheme="minorHAnsi" w:hAnsiTheme="minorHAnsi" w:cstheme="minorHAnsi"/>
                      <w:b w:val="0"/>
                      <w:sz w:val="20"/>
                      <w:szCs w:val="20"/>
                    </w:rPr>
                  </w:pPr>
                </w:p>
              </w:tc>
              <w:tc>
                <w:tcPr>
                  <w:tcW w:w="8476" w:type="dxa"/>
                  <w:gridSpan w:val="6"/>
                  <w:tcBorders>
                    <w:top w:val="nil"/>
                    <w:left w:val="nil"/>
                    <w:bottom w:val="nil"/>
                    <w:right w:val="nil"/>
                  </w:tcBorders>
                  <w:shd w:val="clear" w:color="000000" w:fill="C6E0B4"/>
                  <w:noWrap/>
                  <w:vAlign w:val="center"/>
                  <w:hideMark/>
                </w:tcPr>
                <w:p w:rsidR="00FD2429" w:rsidRPr="000748EF" w:rsidRDefault="00FD2429" w:rsidP="00700AC4">
                  <w:pPr>
                    <w:jc w:val="center"/>
                    <w:rPr>
                      <w:rFonts w:asciiTheme="minorHAnsi" w:hAnsiTheme="minorHAnsi" w:cstheme="minorHAnsi"/>
                      <w:bCs/>
                      <w:color w:val="000000"/>
                      <w:sz w:val="20"/>
                      <w:szCs w:val="20"/>
                      <w:lang w:val="es-ES" w:eastAsia="es-ES"/>
                    </w:rPr>
                  </w:pPr>
                  <w:r w:rsidRPr="000748EF">
                    <w:rPr>
                      <w:rFonts w:asciiTheme="minorHAnsi" w:hAnsiTheme="minorHAnsi" w:cstheme="minorHAnsi"/>
                      <w:bCs/>
                      <w:color w:val="000000"/>
                      <w:sz w:val="20"/>
                      <w:szCs w:val="20"/>
                      <w:lang w:val="es-ES" w:eastAsia="es-ES"/>
                    </w:rPr>
                    <w:t>COMPARATIVO VIGENCIA 2020-2021 AUSTERIDAD Y EFICIENCIA EN EL GASTO PUBLICO COMPARADO ACUMULADO A LOS MESES DE SEPTIEMBRE DE CADA AÑO</w:t>
                  </w:r>
                </w:p>
              </w:tc>
            </w:tr>
            <w:tr w:rsidR="00FD2429" w:rsidRPr="000748EF" w:rsidTr="00FD2429">
              <w:trPr>
                <w:trHeight w:val="300"/>
              </w:trPr>
              <w:tc>
                <w:tcPr>
                  <w:tcW w:w="1727" w:type="dxa"/>
                  <w:gridSpan w:val="2"/>
                  <w:tcBorders>
                    <w:top w:val="single" w:sz="4" w:space="0" w:color="A9D08E"/>
                    <w:left w:val="single" w:sz="4" w:space="0" w:color="A9D08E"/>
                    <w:bottom w:val="single" w:sz="4" w:space="0" w:color="A9D08E"/>
                    <w:right w:val="nil"/>
                  </w:tcBorders>
                  <w:shd w:val="clear" w:color="70AD47" w:fill="70AD47"/>
                  <w:noWrap/>
                  <w:vAlign w:val="center"/>
                  <w:hideMark/>
                </w:tcPr>
                <w:p w:rsidR="00FD2429" w:rsidRPr="000748EF" w:rsidRDefault="00FD2429" w:rsidP="00FD2429">
                  <w:pPr>
                    <w:rPr>
                      <w:rFonts w:asciiTheme="minorHAnsi" w:hAnsiTheme="minorHAnsi" w:cstheme="minorHAnsi"/>
                      <w:bCs/>
                      <w:color w:val="FFFFFF"/>
                      <w:sz w:val="20"/>
                      <w:szCs w:val="20"/>
                      <w:lang w:val="es-ES" w:eastAsia="es-ES"/>
                    </w:rPr>
                  </w:pPr>
                  <w:r w:rsidRPr="000748EF">
                    <w:rPr>
                      <w:rFonts w:asciiTheme="minorHAnsi" w:hAnsiTheme="minorHAnsi" w:cstheme="minorHAnsi"/>
                      <w:bCs/>
                      <w:color w:val="FFFFFF"/>
                      <w:sz w:val="20"/>
                      <w:szCs w:val="20"/>
                      <w:lang w:val="es-ES" w:eastAsia="es-ES"/>
                    </w:rPr>
                    <w:t>GASTOS</w:t>
                  </w:r>
                </w:p>
              </w:tc>
              <w:tc>
                <w:tcPr>
                  <w:tcW w:w="1817" w:type="dxa"/>
                  <w:tcBorders>
                    <w:top w:val="single" w:sz="4" w:space="0" w:color="A9D08E"/>
                    <w:left w:val="nil"/>
                    <w:bottom w:val="single" w:sz="4" w:space="0" w:color="A9D08E"/>
                    <w:right w:val="nil"/>
                  </w:tcBorders>
                  <w:shd w:val="clear" w:color="70AD47" w:fill="70AD47"/>
                  <w:noWrap/>
                  <w:vAlign w:val="center"/>
                  <w:hideMark/>
                </w:tcPr>
                <w:p w:rsidR="00FD2429" w:rsidRPr="000748EF" w:rsidRDefault="00FD2429" w:rsidP="00FD2429">
                  <w:pPr>
                    <w:rPr>
                      <w:rFonts w:asciiTheme="minorHAnsi" w:hAnsiTheme="minorHAnsi" w:cstheme="minorHAnsi"/>
                      <w:bCs/>
                      <w:color w:val="FFFFFF"/>
                      <w:sz w:val="20"/>
                      <w:szCs w:val="20"/>
                      <w:lang w:val="es-ES" w:eastAsia="es-ES"/>
                    </w:rPr>
                  </w:pPr>
                  <w:r w:rsidRPr="000748EF">
                    <w:rPr>
                      <w:rFonts w:asciiTheme="minorHAnsi" w:hAnsiTheme="minorHAnsi" w:cstheme="minorHAnsi"/>
                      <w:bCs/>
                      <w:color w:val="FFFFFF"/>
                      <w:sz w:val="20"/>
                      <w:szCs w:val="20"/>
                      <w:lang w:val="es-ES" w:eastAsia="es-ES"/>
                    </w:rPr>
                    <w:t>CONCEPTO</w:t>
                  </w:r>
                </w:p>
              </w:tc>
              <w:tc>
                <w:tcPr>
                  <w:tcW w:w="1418" w:type="dxa"/>
                  <w:tcBorders>
                    <w:top w:val="single" w:sz="4" w:space="0" w:color="A9D08E"/>
                    <w:left w:val="nil"/>
                    <w:bottom w:val="single" w:sz="4" w:space="0" w:color="A9D08E"/>
                    <w:right w:val="nil"/>
                  </w:tcBorders>
                  <w:shd w:val="clear" w:color="70AD47" w:fill="70AD47"/>
                  <w:noWrap/>
                  <w:vAlign w:val="center"/>
                  <w:hideMark/>
                </w:tcPr>
                <w:p w:rsidR="00FD2429" w:rsidRPr="000748EF" w:rsidRDefault="00FD2429" w:rsidP="00FD2429">
                  <w:pPr>
                    <w:rPr>
                      <w:rFonts w:asciiTheme="minorHAnsi" w:hAnsiTheme="minorHAnsi" w:cstheme="minorHAnsi"/>
                      <w:bCs/>
                      <w:color w:val="FFFFFF"/>
                      <w:sz w:val="20"/>
                      <w:szCs w:val="20"/>
                      <w:lang w:val="es-ES" w:eastAsia="es-ES"/>
                    </w:rPr>
                  </w:pPr>
                  <w:r w:rsidRPr="000748EF">
                    <w:rPr>
                      <w:rFonts w:asciiTheme="minorHAnsi" w:hAnsiTheme="minorHAnsi" w:cstheme="minorHAnsi"/>
                      <w:bCs/>
                      <w:color w:val="FFFFFF"/>
                      <w:sz w:val="20"/>
                      <w:szCs w:val="20"/>
                      <w:lang w:val="es-ES" w:eastAsia="es-ES"/>
                    </w:rPr>
                    <w:t>VIGENCIA 2020</w:t>
                  </w:r>
                </w:p>
              </w:tc>
              <w:tc>
                <w:tcPr>
                  <w:tcW w:w="2069" w:type="dxa"/>
                  <w:tcBorders>
                    <w:top w:val="single" w:sz="4" w:space="0" w:color="A9D08E"/>
                    <w:left w:val="nil"/>
                    <w:bottom w:val="single" w:sz="4" w:space="0" w:color="A9D08E"/>
                    <w:right w:val="nil"/>
                  </w:tcBorders>
                  <w:shd w:val="clear" w:color="70AD47" w:fill="70AD47"/>
                  <w:vAlign w:val="center"/>
                </w:tcPr>
                <w:p w:rsidR="00FD2429" w:rsidRPr="000748EF" w:rsidRDefault="00FD2429" w:rsidP="00FD2429">
                  <w:pPr>
                    <w:rPr>
                      <w:rFonts w:asciiTheme="minorHAnsi" w:hAnsiTheme="minorHAnsi" w:cstheme="minorHAnsi"/>
                      <w:bCs/>
                      <w:color w:val="FFFFFF"/>
                      <w:sz w:val="20"/>
                      <w:szCs w:val="20"/>
                      <w:lang w:val="es-ES" w:eastAsia="es-ES"/>
                    </w:rPr>
                  </w:pPr>
                </w:p>
              </w:tc>
              <w:tc>
                <w:tcPr>
                  <w:tcW w:w="1586" w:type="dxa"/>
                  <w:tcBorders>
                    <w:top w:val="single" w:sz="4" w:space="0" w:color="A9D08E"/>
                    <w:left w:val="nil"/>
                    <w:bottom w:val="single" w:sz="4" w:space="0" w:color="A9D08E"/>
                    <w:right w:val="nil"/>
                  </w:tcBorders>
                  <w:shd w:val="clear" w:color="70AD47" w:fill="70AD47"/>
                  <w:noWrap/>
                  <w:vAlign w:val="center"/>
                  <w:hideMark/>
                </w:tcPr>
                <w:p w:rsidR="00FD2429" w:rsidRPr="000748EF" w:rsidRDefault="00FD2429" w:rsidP="00FD2429">
                  <w:pPr>
                    <w:rPr>
                      <w:rFonts w:asciiTheme="minorHAnsi" w:hAnsiTheme="minorHAnsi" w:cstheme="minorHAnsi"/>
                      <w:bCs/>
                      <w:color w:val="FFFFFF"/>
                      <w:sz w:val="20"/>
                      <w:szCs w:val="20"/>
                      <w:lang w:val="es-ES" w:eastAsia="es-ES"/>
                    </w:rPr>
                  </w:pPr>
                  <w:r w:rsidRPr="000748EF">
                    <w:rPr>
                      <w:rFonts w:asciiTheme="minorHAnsi" w:hAnsiTheme="minorHAnsi" w:cstheme="minorHAnsi"/>
                      <w:bCs/>
                      <w:color w:val="FFFFFF"/>
                      <w:sz w:val="20"/>
                      <w:szCs w:val="20"/>
                      <w:lang w:val="es-ES" w:eastAsia="es-ES"/>
                    </w:rPr>
                    <w:t>VIGENCIA 2021</w:t>
                  </w:r>
                </w:p>
              </w:tc>
              <w:tc>
                <w:tcPr>
                  <w:tcW w:w="1446" w:type="dxa"/>
                  <w:tcBorders>
                    <w:top w:val="single" w:sz="4" w:space="0" w:color="A9D08E"/>
                    <w:left w:val="nil"/>
                    <w:bottom w:val="single" w:sz="4" w:space="0" w:color="A9D08E"/>
                    <w:right w:val="single" w:sz="4" w:space="0" w:color="A9D08E"/>
                  </w:tcBorders>
                  <w:shd w:val="clear" w:color="70AD47" w:fill="70AD47"/>
                  <w:noWrap/>
                  <w:vAlign w:val="center"/>
                  <w:hideMark/>
                </w:tcPr>
                <w:p w:rsidR="00FD2429" w:rsidRPr="000748EF" w:rsidRDefault="00FD2429" w:rsidP="00FD2429">
                  <w:pPr>
                    <w:rPr>
                      <w:rFonts w:asciiTheme="minorHAnsi" w:hAnsiTheme="minorHAnsi" w:cstheme="minorHAnsi"/>
                      <w:bCs/>
                      <w:color w:val="FFFFFF"/>
                      <w:sz w:val="20"/>
                      <w:szCs w:val="20"/>
                      <w:lang w:val="es-ES" w:eastAsia="es-ES"/>
                    </w:rPr>
                  </w:pPr>
                  <w:r w:rsidRPr="000748EF">
                    <w:rPr>
                      <w:rFonts w:asciiTheme="minorHAnsi" w:hAnsiTheme="minorHAnsi" w:cstheme="minorHAnsi"/>
                      <w:bCs/>
                      <w:color w:val="FFFFFF"/>
                      <w:sz w:val="20"/>
                      <w:szCs w:val="20"/>
                      <w:lang w:val="es-ES" w:eastAsia="es-ES"/>
                    </w:rPr>
                    <w:t>% VARIACION</w:t>
                  </w:r>
                </w:p>
              </w:tc>
            </w:tr>
            <w:tr w:rsidR="00FD2429" w:rsidRPr="000748EF" w:rsidTr="00FD2429">
              <w:trPr>
                <w:trHeight w:val="300"/>
              </w:trPr>
              <w:tc>
                <w:tcPr>
                  <w:tcW w:w="1727" w:type="dxa"/>
                  <w:gridSpan w:val="2"/>
                  <w:tcBorders>
                    <w:top w:val="single" w:sz="4" w:space="0" w:color="A9D08E"/>
                    <w:left w:val="single" w:sz="4" w:space="0" w:color="A9D08E"/>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eastAsia="es-ES"/>
                    </w:rPr>
                    <w:t>FUNCIONAMIENTO</w:t>
                  </w:r>
                </w:p>
              </w:tc>
              <w:tc>
                <w:tcPr>
                  <w:tcW w:w="1817"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NOMINA</w:t>
                  </w:r>
                </w:p>
              </w:tc>
              <w:tc>
                <w:tcPr>
                  <w:tcW w:w="1418"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 </w:t>
                  </w:r>
                  <w:r w:rsidR="000748EF" w:rsidRPr="000748EF">
                    <w:rPr>
                      <w:rFonts w:asciiTheme="minorHAnsi" w:hAnsiTheme="minorHAnsi" w:cstheme="minorHAnsi"/>
                      <w:b w:val="0"/>
                      <w:color w:val="000000"/>
                      <w:sz w:val="20"/>
                      <w:szCs w:val="20"/>
                    </w:rPr>
                    <w:t>948.006.096</w:t>
                  </w:r>
                </w:p>
              </w:tc>
              <w:tc>
                <w:tcPr>
                  <w:tcW w:w="2069" w:type="dxa"/>
                  <w:tcBorders>
                    <w:top w:val="single" w:sz="4" w:space="0" w:color="A9D08E"/>
                    <w:left w:val="nil"/>
                    <w:bottom w:val="single" w:sz="4" w:space="0" w:color="A9D08E"/>
                    <w:right w:val="nil"/>
                  </w:tcBorders>
                  <w:shd w:val="clear" w:color="E2EFDA" w:fill="E2EFDA"/>
                  <w:vAlign w:val="center"/>
                </w:tcPr>
                <w:p w:rsidR="00FD2429" w:rsidRPr="000748EF" w:rsidRDefault="00FD2429" w:rsidP="00FD2429">
                  <w:pPr>
                    <w:tabs>
                      <w:tab w:val="left" w:pos="240"/>
                    </w:tabs>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Factores constitutivos y no </w:t>
                  </w:r>
                  <w:proofErr w:type="spellStart"/>
                  <w:r w:rsidRPr="000748EF">
                    <w:rPr>
                      <w:rFonts w:asciiTheme="minorHAnsi" w:hAnsiTheme="minorHAnsi" w:cstheme="minorHAnsi"/>
                      <w:b w:val="0"/>
                      <w:color w:val="000000"/>
                      <w:sz w:val="20"/>
                      <w:szCs w:val="20"/>
                      <w:lang w:val="es-ES" w:eastAsia="es-ES"/>
                    </w:rPr>
                    <w:t>const.</w:t>
                  </w:r>
                  <w:proofErr w:type="spellEnd"/>
                  <w:r w:rsidRPr="000748EF">
                    <w:rPr>
                      <w:rFonts w:asciiTheme="minorHAnsi" w:hAnsiTheme="minorHAnsi" w:cstheme="minorHAnsi"/>
                      <w:b w:val="0"/>
                      <w:color w:val="000000"/>
                      <w:sz w:val="20"/>
                      <w:szCs w:val="20"/>
                      <w:lang w:val="es-ES" w:eastAsia="es-ES"/>
                    </w:rPr>
                    <w:t xml:space="preserve"> de salario</w:t>
                  </w:r>
                </w:p>
              </w:tc>
              <w:tc>
                <w:tcPr>
                  <w:tcW w:w="1586"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 </w:t>
                  </w:r>
                  <w:r w:rsidR="00A37316" w:rsidRPr="00A37316">
                    <w:rPr>
                      <w:rFonts w:asciiTheme="minorHAnsi" w:hAnsiTheme="minorHAnsi" w:cstheme="minorHAnsi"/>
                      <w:b w:val="0"/>
                      <w:color w:val="000000"/>
                      <w:sz w:val="20"/>
                      <w:szCs w:val="20"/>
                      <w:lang w:val="es-ES" w:eastAsia="es-ES"/>
                    </w:rPr>
                    <w:t>958</w:t>
                  </w:r>
                  <w:r w:rsidR="00A37316">
                    <w:rPr>
                      <w:rFonts w:asciiTheme="minorHAnsi" w:hAnsiTheme="minorHAnsi" w:cstheme="minorHAnsi"/>
                      <w:b w:val="0"/>
                      <w:color w:val="000000"/>
                      <w:sz w:val="20"/>
                      <w:szCs w:val="20"/>
                      <w:lang w:val="es-ES" w:eastAsia="es-ES"/>
                    </w:rPr>
                    <w:t>.</w:t>
                  </w:r>
                  <w:r w:rsidR="00A37316" w:rsidRPr="00A37316">
                    <w:rPr>
                      <w:rFonts w:asciiTheme="minorHAnsi" w:hAnsiTheme="minorHAnsi" w:cstheme="minorHAnsi"/>
                      <w:b w:val="0"/>
                      <w:color w:val="000000"/>
                      <w:sz w:val="20"/>
                      <w:szCs w:val="20"/>
                      <w:lang w:val="es-ES" w:eastAsia="es-ES"/>
                    </w:rPr>
                    <w:t>132</w:t>
                  </w:r>
                  <w:r w:rsidR="00A37316">
                    <w:rPr>
                      <w:rFonts w:asciiTheme="minorHAnsi" w:hAnsiTheme="minorHAnsi" w:cstheme="minorHAnsi"/>
                      <w:b w:val="0"/>
                      <w:color w:val="000000"/>
                      <w:sz w:val="20"/>
                      <w:szCs w:val="20"/>
                      <w:lang w:val="es-ES" w:eastAsia="es-ES"/>
                    </w:rPr>
                    <w:t>.</w:t>
                  </w:r>
                  <w:r w:rsidR="00A37316" w:rsidRPr="00A37316">
                    <w:rPr>
                      <w:rFonts w:asciiTheme="minorHAnsi" w:hAnsiTheme="minorHAnsi" w:cstheme="minorHAnsi"/>
                      <w:b w:val="0"/>
                      <w:color w:val="000000"/>
                      <w:sz w:val="20"/>
                      <w:szCs w:val="20"/>
                      <w:lang w:val="es-ES" w:eastAsia="es-ES"/>
                    </w:rPr>
                    <w:t>311</w:t>
                  </w:r>
                </w:p>
              </w:tc>
              <w:tc>
                <w:tcPr>
                  <w:tcW w:w="1446" w:type="dxa"/>
                  <w:tcBorders>
                    <w:top w:val="single" w:sz="4" w:space="0" w:color="A9D08E"/>
                    <w:left w:val="nil"/>
                    <w:bottom w:val="single" w:sz="4" w:space="0" w:color="A9D08E"/>
                    <w:right w:val="single" w:sz="4" w:space="0" w:color="A9D08E"/>
                  </w:tcBorders>
                  <w:shd w:val="clear" w:color="E2EFDA" w:fill="E2EFDA"/>
                  <w:noWrap/>
                  <w:vAlign w:val="center"/>
                  <w:hideMark/>
                </w:tcPr>
                <w:p w:rsidR="00FD2429" w:rsidRPr="000748EF" w:rsidRDefault="00E11C5E" w:rsidP="00FD2429">
                  <w:pPr>
                    <w:rPr>
                      <w:rFonts w:asciiTheme="minorHAnsi" w:hAnsiTheme="minorHAnsi" w:cstheme="minorHAnsi"/>
                      <w:b w:val="0"/>
                      <w:color w:val="000000"/>
                      <w:sz w:val="20"/>
                      <w:szCs w:val="20"/>
                    </w:rPr>
                  </w:pPr>
                  <w:r>
                    <w:rPr>
                      <w:rFonts w:asciiTheme="minorHAnsi" w:hAnsiTheme="minorHAnsi" w:cstheme="minorHAnsi"/>
                      <w:color w:val="000000"/>
                      <w:sz w:val="20"/>
                      <w:szCs w:val="20"/>
                    </w:rPr>
                    <w:t>1,06</w:t>
                  </w:r>
                  <w:r w:rsidR="00FD2429" w:rsidRPr="000748EF">
                    <w:rPr>
                      <w:rFonts w:asciiTheme="minorHAnsi" w:hAnsiTheme="minorHAnsi" w:cstheme="minorHAnsi"/>
                      <w:color w:val="000000"/>
                      <w:sz w:val="20"/>
                      <w:szCs w:val="20"/>
                    </w:rPr>
                    <w:t>%</w:t>
                  </w:r>
                </w:p>
              </w:tc>
            </w:tr>
            <w:tr w:rsidR="00FD2429" w:rsidRPr="000748EF" w:rsidTr="00FD2429">
              <w:trPr>
                <w:trHeight w:val="300"/>
              </w:trPr>
              <w:tc>
                <w:tcPr>
                  <w:tcW w:w="1727" w:type="dxa"/>
                  <w:gridSpan w:val="2"/>
                  <w:tcBorders>
                    <w:top w:val="single" w:sz="4" w:space="0" w:color="A9D08E"/>
                    <w:left w:val="single" w:sz="4" w:space="0" w:color="A9D08E"/>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p>
              </w:tc>
              <w:tc>
                <w:tcPr>
                  <w:tcW w:w="1817"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INDEMNIZACION POR VACACIONES</w:t>
                  </w:r>
                </w:p>
              </w:tc>
              <w:tc>
                <w:tcPr>
                  <w:tcW w:w="1418"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 </w:t>
                  </w:r>
                  <w:r w:rsidR="000748EF" w:rsidRPr="000748EF">
                    <w:rPr>
                      <w:rFonts w:asciiTheme="minorHAnsi" w:hAnsiTheme="minorHAnsi" w:cstheme="minorHAnsi"/>
                      <w:b w:val="0"/>
                      <w:color w:val="000000"/>
                      <w:sz w:val="20"/>
                      <w:szCs w:val="20"/>
                      <w:lang w:val="es-ES" w:eastAsia="es-ES"/>
                    </w:rPr>
                    <w:t>4.911.095</w:t>
                  </w:r>
                </w:p>
              </w:tc>
              <w:tc>
                <w:tcPr>
                  <w:tcW w:w="2069" w:type="dxa"/>
                  <w:tcBorders>
                    <w:top w:val="single" w:sz="4" w:space="0" w:color="A9D08E"/>
                    <w:left w:val="nil"/>
                    <w:bottom w:val="single" w:sz="4" w:space="0" w:color="A9D08E"/>
                    <w:right w:val="nil"/>
                  </w:tcBorders>
                  <w:vAlign w:val="center"/>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Indemnización por vacaciones</w:t>
                  </w:r>
                </w:p>
              </w:tc>
              <w:tc>
                <w:tcPr>
                  <w:tcW w:w="1586"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 </w:t>
                  </w:r>
                  <w:r w:rsidR="000748EF" w:rsidRPr="000748EF">
                    <w:rPr>
                      <w:rFonts w:asciiTheme="minorHAnsi" w:hAnsiTheme="minorHAnsi" w:cstheme="minorHAnsi"/>
                      <w:b w:val="0"/>
                      <w:color w:val="000000"/>
                      <w:sz w:val="20"/>
                      <w:szCs w:val="20"/>
                      <w:lang w:val="es-ES" w:eastAsia="es-ES"/>
                    </w:rPr>
                    <w:t>52</w:t>
                  </w:r>
                  <w:r w:rsidR="000748EF">
                    <w:rPr>
                      <w:rFonts w:asciiTheme="minorHAnsi" w:hAnsiTheme="minorHAnsi" w:cstheme="minorHAnsi"/>
                      <w:b w:val="0"/>
                      <w:color w:val="000000"/>
                      <w:sz w:val="20"/>
                      <w:szCs w:val="20"/>
                      <w:lang w:val="es-ES" w:eastAsia="es-ES"/>
                    </w:rPr>
                    <w:t>.</w:t>
                  </w:r>
                  <w:r w:rsidR="000748EF" w:rsidRPr="000748EF">
                    <w:rPr>
                      <w:rFonts w:asciiTheme="minorHAnsi" w:hAnsiTheme="minorHAnsi" w:cstheme="minorHAnsi"/>
                      <w:b w:val="0"/>
                      <w:color w:val="000000"/>
                      <w:sz w:val="20"/>
                      <w:szCs w:val="20"/>
                      <w:lang w:val="es-ES" w:eastAsia="es-ES"/>
                    </w:rPr>
                    <w:t>213</w:t>
                  </w:r>
                  <w:r w:rsidR="000748EF">
                    <w:rPr>
                      <w:rFonts w:asciiTheme="minorHAnsi" w:hAnsiTheme="minorHAnsi" w:cstheme="minorHAnsi"/>
                      <w:b w:val="0"/>
                      <w:color w:val="000000"/>
                      <w:sz w:val="20"/>
                      <w:szCs w:val="20"/>
                      <w:lang w:val="es-ES" w:eastAsia="es-ES"/>
                    </w:rPr>
                    <w:t>.</w:t>
                  </w:r>
                  <w:r w:rsidR="000748EF" w:rsidRPr="000748EF">
                    <w:rPr>
                      <w:rFonts w:asciiTheme="minorHAnsi" w:hAnsiTheme="minorHAnsi" w:cstheme="minorHAnsi"/>
                      <w:b w:val="0"/>
                      <w:color w:val="000000"/>
                      <w:sz w:val="20"/>
                      <w:szCs w:val="20"/>
                      <w:lang w:val="es-ES" w:eastAsia="es-ES"/>
                    </w:rPr>
                    <w:t>413</w:t>
                  </w:r>
                </w:p>
              </w:tc>
              <w:tc>
                <w:tcPr>
                  <w:tcW w:w="1446" w:type="dxa"/>
                  <w:tcBorders>
                    <w:top w:val="single" w:sz="4" w:space="0" w:color="A9D08E"/>
                    <w:left w:val="nil"/>
                    <w:bottom w:val="single" w:sz="4" w:space="0" w:color="A9D08E"/>
                    <w:right w:val="single" w:sz="4" w:space="0" w:color="A9D08E"/>
                  </w:tcBorders>
                  <w:shd w:val="clear" w:color="auto" w:fill="auto"/>
                  <w:noWrap/>
                  <w:vAlign w:val="center"/>
                  <w:hideMark/>
                </w:tcPr>
                <w:p w:rsidR="00FD2429" w:rsidRPr="000748EF" w:rsidRDefault="00E11C5E" w:rsidP="00FD2429">
                  <w:pPr>
                    <w:rPr>
                      <w:rFonts w:asciiTheme="minorHAnsi" w:hAnsiTheme="minorHAnsi" w:cstheme="minorHAnsi"/>
                      <w:color w:val="000000"/>
                      <w:sz w:val="20"/>
                      <w:szCs w:val="20"/>
                    </w:rPr>
                  </w:pPr>
                  <w:r>
                    <w:rPr>
                      <w:rFonts w:asciiTheme="minorHAnsi" w:hAnsiTheme="minorHAnsi" w:cstheme="minorHAnsi"/>
                      <w:color w:val="000000"/>
                      <w:sz w:val="20"/>
                      <w:szCs w:val="20"/>
                    </w:rPr>
                    <w:t>963,17</w:t>
                  </w:r>
                  <w:r w:rsidR="00FD2429" w:rsidRPr="000748EF">
                    <w:rPr>
                      <w:rFonts w:asciiTheme="minorHAnsi" w:hAnsiTheme="minorHAnsi" w:cstheme="minorHAnsi"/>
                      <w:color w:val="000000"/>
                      <w:sz w:val="20"/>
                      <w:szCs w:val="20"/>
                    </w:rPr>
                    <w:t>%</w:t>
                  </w:r>
                </w:p>
              </w:tc>
            </w:tr>
            <w:tr w:rsidR="00FD2429" w:rsidRPr="000748EF" w:rsidTr="00FD2429">
              <w:trPr>
                <w:trHeight w:val="300"/>
              </w:trPr>
              <w:tc>
                <w:tcPr>
                  <w:tcW w:w="1727" w:type="dxa"/>
                  <w:gridSpan w:val="2"/>
                  <w:tcBorders>
                    <w:top w:val="single" w:sz="4" w:space="0" w:color="A9D08E"/>
                    <w:left w:val="single" w:sz="4" w:space="0" w:color="A9D08E"/>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p>
              </w:tc>
              <w:tc>
                <w:tcPr>
                  <w:tcW w:w="1817"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OTROS SEVICIOS PERSONALES</w:t>
                  </w:r>
                </w:p>
              </w:tc>
              <w:tc>
                <w:tcPr>
                  <w:tcW w:w="1418"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 </w:t>
                  </w:r>
                  <w:r w:rsidR="000748EF" w:rsidRPr="000748EF">
                    <w:rPr>
                      <w:rFonts w:asciiTheme="minorHAnsi" w:hAnsiTheme="minorHAnsi" w:cstheme="minorHAnsi"/>
                      <w:b w:val="0"/>
                      <w:color w:val="000000"/>
                      <w:sz w:val="20"/>
                      <w:szCs w:val="20"/>
                    </w:rPr>
                    <w:t>33.433.333</w:t>
                  </w:r>
                </w:p>
              </w:tc>
              <w:tc>
                <w:tcPr>
                  <w:tcW w:w="2069" w:type="dxa"/>
                  <w:tcBorders>
                    <w:top w:val="single" w:sz="4" w:space="0" w:color="A9D08E"/>
                    <w:left w:val="nil"/>
                    <w:bottom w:val="single" w:sz="4" w:space="0" w:color="A9D08E"/>
                    <w:right w:val="nil"/>
                  </w:tcBorders>
                  <w:shd w:val="clear" w:color="E2EFDA" w:fill="E2EFDA"/>
                  <w:vAlign w:val="center"/>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Otros bienes transportables</w:t>
                  </w:r>
                </w:p>
              </w:tc>
              <w:tc>
                <w:tcPr>
                  <w:tcW w:w="1586"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 </w:t>
                  </w:r>
                  <w:r w:rsidR="00A67A13" w:rsidRPr="00A67A13">
                    <w:rPr>
                      <w:rFonts w:asciiTheme="minorHAnsi" w:hAnsiTheme="minorHAnsi" w:cstheme="minorHAnsi"/>
                      <w:b w:val="0"/>
                      <w:color w:val="000000"/>
                      <w:sz w:val="20"/>
                      <w:szCs w:val="20"/>
                      <w:lang w:val="es-ES" w:eastAsia="es-ES"/>
                    </w:rPr>
                    <w:t>2</w:t>
                  </w:r>
                  <w:r w:rsidR="00A67A13">
                    <w:rPr>
                      <w:rFonts w:asciiTheme="minorHAnsi" w:hAnsiTheme="minorHAnsi" w:cstheme="minorHAnsi"/>
                      <w:b w:val="0"/>
                      <w:color w:val="000000"/>
                      <w:sz w:val="20"/>
                      <w:szCs w:val="20"/>
                      <w:lang w:val="es-ES" w:eastAsia="es-ES"/>
                    </w:rPr>
                    <w:t>.</w:t>
                  </w:r>
                  <w:r w:rsidR="00A67A13" w:rsidRPr="00A67A13">
                    <w:rPr>
                      <w:rFonts w:asciiTheme="minorHAnsi" w:hAnsiTheme="minorHAnsi" w:cstheme="minorHAnsi"/>
                      <w:b w:val="0"/>
                      <w:color w:val="000000"/>
                      <w:sz w:val="20"/>
                      <w:szCs w:val="20"/>
                      <w:lang w:val="es-ES" w:eastAsia="es-ES"/>
                    </w:rPr>
                    <w:t>341</w:t>
                  </w:r>
                  <w:r w:rsidR="00A67A13">
                    <w:rPr>
                      <w:rFonts w:asciiTheme="minorHAnsi" w:hAnsiTheme="minorHAnsi" w:cstheme="minorHAnsi"/>
                      <w:b w:val="0"/>
                      <w:color w:val="000000"/>
                      <w:sz w:val="20"/>
                      <w:szCs w:val="20"/>
                      <w:lang w:val="es-ES" w:eastAsia="es-ES"/>
                    </w:rPr>
                    <w:t>.</w:t>
                  </w:r>
                  <w:r w:rsidR="00A67A13" w:rsidRPr="00A67A13">
                    <w:rPr>
                      <w:rFonts w:asciiTheme="minorHAnsi" w:hAnsiTheme="minorHAnsi" w:cstheme="minorHAnsi"/>
                      <w:b w:val="0"/>
                      <w:color w:val="000000"/>
                      <w:sz w:val="20"/>
                      <w:szCs w:val="20"/>
                      <w:lang w:val="es-ES" w:eastAsia="es-ES"/>
                    </w:rPr>
                    <w:t>401</w:t>
                  </w:r>
                </w:p>
              </w:tc>
              <w:tc>
                <w:tcPr>
                  <w:tcW w:w="1446" w:type="dxa"/>
                  <w:tcBorders>
                    <w:top w:val="single" w:sz="4" w:space="0" w:color="A9D08E"/>
                    <w:left w:val="nil"/>
                    <w:bottom w:val="single" w:sz="4" w:space="0" w:color="A9D08E"/>
                    <w:right w:val="single" w:sz="4" w:space="0" w:color="A9D08E"/>
                  </w:tcBorders>
                  <w:shd w:val="clear" w:color="E2EFDA" w:fill="E2EFDA"/>
                  <w:noWrap/>
                  <w:vAlign w:val="center"/>
                  <w:hideMark/>
                </w:tcPr>
                <w:p w:rsidR="00FD2429" w:rsidRPr="000748EF" w:rsidRDefault="00FD2429" w:rsidP="00FD2429">
                  <w:pPr>
                    <w:rPr>
                      <w:rFonts w:asciiTheme="minorHAnsi" w:hAnsiTheme="minorHAnsi" w:cstheme="minorHAnsi"/>
                      <w:color w:val="000000"/>
                      <w:sz w:val="20"/>
                      <w:szCs w:val="20"/>
                    </w:rPr>
                  </w:pPr>
                  <w:r w:rsidRPr="000748EF">
                    <w:rPr>
                      <w:rFonts w:asciiTheme="minorHAnsi" w:hAnsiTheme="minorHAnsi" w:cstheme="minorHAnsi"/>
                      <w:color w:val="000000"/>
                      <w:sz w:val="20"/>
                      <w:szCs w:val="20"/>
                    </w:rPr>
                    <w:t>Sin determinar</w:t>
                  </w:r>
                </w:p>
              </w:tc>
            </w:tr>
            <w:tr w:rsidR="00FD2429" w:rsidRPr="000748EF" w:rsidTr="00FD2429">
              <w:trPr>
                <w:trHeight w:val="300"/>
              </w:trPr>
              <w:tc>
                <w:tcPr>
                  <w:tcW w:w="1727" w:type="dxa"/>
                  <w:gridSpan w:val="2"/>
                  <w:tcBorders>
                    <w:top w:val="single" w:sz="4" w:space="0" w:color="A9D08E"/>
                    <w:left w:val="single" w:sz="4" w:space="0" w:color="A9D08E"/>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GENERALES</w:t>
                  </w:r>
                </w:p>
              </w:tc>
              <w:tc>
                <w:tcPr>
                  <w:tcW w:w="1817"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HONORARIOS (C.P.S)</w:t>
                  </w:r>
                </w:p>
              </w:tc>
              <w:tc>
                <w:tcPr>
                  <w:tcW w:w="1418"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 </w:t>
                  </w:r>
                  <w:r w:rsidR="000748EF" w:rsidRPr="000748EF">
                    <w:rPr>
                      <w:rFonts w:asciiTheme="minorHAnsi" w:hAnsiTheme="minorHAnsi" w:cstheme="minorHAnsi"/>
                      <w:b w:val="0"/>
                      <w:color w:val="000000"/>
                      <w:sz w:val="20"/>
                      <w:szCs w:val="20"/>
                      <w:lang w:val="es-ES" w:eastAsia="es-ES"/>
                    </w:rPr>
                    <w:t>249.826.666</w:t>
                  </w:r>
                </w:p>
              </w:tc>
              <w:tc>
                <w:tcPr>
                  <w:tcW w:w="2069" w:type="dxa"/>
                  <w:tcBorders>
                    <w:top w:val="single" w:sz="4" w:space="0" w:color="A9D08E"/>
                    <w:left w:val="nil"/>
                    <w:bottom w:val="single" w:sz="4" w:space="0" w:color="A9D08E"/>
                    <w:right w:val="nil"/>
                  </w:tcBorders>
                  <w:vAlign w:val="center"/>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Servicios de alojamiento; servicios de suministro de comidas y bebidas; servicios de transporte; y servicios de distribución de electricidad, gas y agua </w:t>
                  </w:r>
                </w:p>
              </w:tc>
              <w:tc>
                <w:tcPr>
                  <w:tcW w:w="1586"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 </w:t>
                  </w:r>
                  <w:r w:rsidR="00A37316" w:rsidRPr="00A37316">
                    <w:rPr>
                      <w:rFonts w:asciiTheme="minorHAnsi" w:hAnsiTheme="minorHAnsi" w:cstheme="minorHAnsi"/>
                      <w:b w:val="0"/>
                      <w:color w:val="000000"/>
                      <w:sz w:val="20"/>
                      <w:szCs w:val="20"/>
                      <w:lang w:val="es-ES" w:eastAsia="es-ES"/>
                    </w:rPr>
                    <w:t>56</w:t>
                  </w:r>
                  <w:r w:rsidR="00A37316">
                    <w:rPr>
                      <w:rFonts w:asciiTheme="minorHAnsi" w:hAnsiTheme="minorHAnsi" w:cstheme="minorHAnsi"/>
                      <w:b w:val="0"/>
                      <w:color w:val="000000"/>
                      <w:sz w:val="20"/>
                      <w:szCs w:val="20"/>
                      <w:lang w:val="es-ES" w:eastAsia="es-ES"/>
                    </w:rPr>
                    <w:t>.</w:t>
                  </w:r>
                  <w:r w:rsidR="00A37316" w:rsidRPr="00A37316">
                    <w:rPr>
                      <w:rFonts w:asciiTheme="minorHAnsi" w:hAnsiTheme="minorHAnsi" w:cstheme="minorHAnsi"/>
                      <w:b w:val="0"/>
                      <w:color w:val="000000"/>
                      <w:sz w:val="20"/>
                      <w:szCs w:val="20"/>
                      <w:lang w:val="es-ES" w:eastAsia="es-ES"/>
                    </w:rPr>
                    <w:t>703</w:t>
                  </w:r>
                  <w:r w:rsidR="00A37316">
                    <w:rPr>
                      <w:rFonts w:asciiTheme="minorHAnsi" w:hAnsiTheme="minorHAnsi" w:cstheme="minorHAnsi"/>
                      <w:b w:val="0"/>
                      <w:color w:val="000000"/>
                      <w:sz w:val="20"/>
                      <w:szCs w:val="20"/>
                      <w:lang w:val="es-ES" w:eastAsia="es-ES"/>
                    </w:rPr>
                    <w:t>.</w:t>
                  </w:r>
                  <w:r w:rsidR="00A37316" w:rsidRPr="00A37316">
                    <w:rPr>
                      <w:rFonts w:asciiTheme="minorHAnsi" w:hAnsiTheme="minorHAnsi" w:cstheme="minorHAnsi"/>
                      <w:b w:val="0"/>
                      <w:color w:val="000000"/>
                      <w:sz w:val="20"/>
                      <w:szCs w:val="20"/>
                      <w:lang w:val="es-ES" w:eastAsia="es-ES"/>
                    </w:rPr>
                    <w:t>333</w:t>
                  </w:r>
                </w:p>
              </w:tc>
              <w:tc>
                <w:tcPr>
                  <w:tcW w:w="1446" w:type="dxa"/>
                  <w:tcBorders>
                    <w:top w:val="single" w:sz="4" w:space="0" w:color="A9D08E"/>
                    <w:left w:val="nil"/>
                    <w:bottom w:val="single" w:sz="4" w:space="0" w:color="A9D08E"/>
                    <w:right w:val="single" w:sz="4" w:space="0" w:color="A9D08E"/>
                  </w:tcBorders>
                  <w:shd w:val="clear" w:color="auto" w:fill="auto"/>
                  <w:noWrap/>
                  <w:vAlign w:val="center"/>
                  <w:hideMark/>
                </w:tcPr>
                <w:p w:rsidR="00FD2429" w:rsidRPr="000748EF" w:rsidRDefault="00FD2429" w:rsidP="00FD2429">
                  <w:pPr>
                    <w:rPr>
                      <w:rFonts w:asciiTheme="minorHAnsi" w:hAnsiTheme="minorHAnsi" w:cstheme="minorHAnsi"/>
                      <w:color w:val="000000"/>
                      <w:sz w:val="20"/>
                      <w:szCs w:val="20"/>
                    </w:rPr>
                  </w:pPr>
                  <w:r w:rsidRPr="000748EF">
                    <w:rPr>
                      <w:rFonts w:asciiTheme="minorHAnsi" w:hAnsiTheme="minorHAnsi" w:cstheme="minorHAnsi"/>
                      <w:color w:val="000000"/>
                      <w:sz w:val="20"/>
                      <w:szCs w:val="20"/>
                    </w:rPr>
                    <w:t>Sin determinar</w:t>
                  </w:r>
                </w:p>
              </w:tc>
            </w:tr>
            <w:tr w:rsidR="00FD2429" w:rsidRPr="000748EF" w:rsidTr="00FD2429">
              <w:trPr>
                <w:trHeight w:val="300"/>
              </w:trPr>
              <w:tc>
                <w:tcPr>
                  <w:tcW w:w="1727" w:type="dxa"/>
                  <w:gridSpan w:val="2"/>
                  <w:tcBorders>
                    <w:top w:val="single" w:sz="4" w:space="0" w:color="A9D08E"/>
                    <w:left w:val="single" w:sz="4" w:space="0" w:color="A9D08E"/>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p>
              </w:tc>
              <w:tc>
                <w:tcPr>
                  <w:tcW w:w="1817"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VIATICOS</w:t>
                  </w:r>
                </w:p>
              </w:tc>
              <w:tc>
                <w:tcPr>
                  <w:tcW w:w="1418"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$ 0</w:t>
                  </w:r>
                </w:p>
              </w:tc>
              <w:tc>
                <w:tcPr>
                  <w:tcW w:w="2069" w:type="dxa"/>
                  <w:tcBorders>
                    <w:top w:val="single" w:sz="4" w:space="0" w:color="A9D08E"/>
                    <w:left w:val="nil"/>
                    <w:bottom w:val="single" w:sz="4" w:space="0" w:color="A9D08E"/>
                    <w:right w:val="nil"/>
                  </w:tcBorders>
                  <w:shd w:val="clear" w:color="E2EFDA" w:fill="E2EFDA"/>
                  <w:vAlign w:val="center"/>
                </w:tcPr>
                <w:p w:rsidR="00FD2429" w:rsidRPr="000748EF" w:rsidRDefault="00FD2429" w:rsidP="00FD2429">
                  <w:pPr>
                    <w:rPr>
                      <w:rFonts w:asciiTheme="minorHAnsi" w:hAnsiTheme="minorHAnsi" w:cstheme="minorHAnsi"/>
                      <w:b w:val="0"/>
                      <w:color w:val="000000"/>
                      <w:sz w:val="20"/>
                      <w:szCs w:val="20"/>
                      <w:lang w:val="es-ES" w:eastAsia="es-ES"/>
                    </w:rPr>
                  </w:pPr>
                </w:p>
              </w:tc>
              <w:tc>
                <w:tcPr>
                  <w:tcW w:w="1586"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A67A13" w:rsidP="00FD2429">
                  <w:pPr>
                    <w:rPr>
                      <w:rFonts w:asciiTheme="minorHAnsi" w:hAnsiTheme="minorHAnsi" w:cstheme="minorHAnsi"/>
                      <w:b w:val="0"/>
                      <w:color w:val="000000"/>
                      <w:sz w:val="20"/>
                      <w:szCs w:val="20"/>
                      <w:lang w:val="es-ES" w:eastAsia="es-ES"/>
                    </w:rPr>
                  </w:pPr>
                  <w:r>
                    <w:rPr>
                      <w:rFonts w:asciiTheme="minorHAnsi" w:hAnsiTheme="minorHAnsi" w:cstheme="minorHAnsi"/>
                      <w:b w:val="0"/>
                      <w:color w:val="000000"/>
                      <w:sz w:val="20"/>
                      <w:szCs w:val="20"/>
                      <w:lang w:val="es-ES" w:eastAsia="es-ES"/>
                    </w:rPr>
                    <w:t xml:space="preserve">$ </w:t>
                  </w:r>
                  <w:r w:rsidRPr="00A67A13">
                    <w:rPr>
                      <w:rFonts w:asciiTheme="minorHAnsi" w:hAnsiTheme="minorHAnsi" w:cstheme="minorHAnsi"/>
                      <w:b w:val="0"/>
                      <w:color w:val="000000"/>
                      <w:sz w:val="20"/>
                      <w:szCs w:val="20"/>
                      <w:lang w:val="es-ES" w:eastAsia="es-ES"/>
                    </w:rPr>
                    <w:t>2</w:t>
                  </w:r>
                  <w:r>
                    <w:rPr>
                      <w:rFonts w:asciiTheme="minorHAnsi" w:hAnsiTheme="minorHAnsi" w:cstheme="minorHAnsi"/>
                      <w:b w:val="0"/>
                      <w:color w:val="000000"/>
                      <w:sz w:val="20"/>
                      <w:szCs w:val="20"/>
                      <w:lang w:val="es-ES" w:eastAsia="es-ES"/>
                    </w:rPr>
                    <w:t>.</w:t>
                  </w:r>
                  <w:r w:rsidRPr="00A67A13">
                    <w:rPr>
                      <w:rFonts w:asciiTheme="minorHAnsi" w:hAnsiTheme="minorHAnsi" w:cstheme="minorHAnsi"/>
                      <w:b w:val="0"/>
                      <w:color w:val="000000"/>
                      <w:sz w:val="20"/>
                      <w:szCs w:val="20"/>
                      <w:lang w:val="es-ES" w:eastAsia="es-ES"/>
                    </w:rPr>
                    <w:t>916</w:t>
                  </w:r>
                  <w:r>
                    <w:rPr>
                      <w:rFonts w:asciiTheme="minorHAnsi" w:hAnsiTheme="minorHAnsi" w:cstheme="minorHAnsi"/>
                      <w:b w:val="0"/>
                      <w:color w:val="000000"/>
                      <w:sz w:val="20"/>
                      <w:szCs w:val="20"/>
                      <w:lang w:val="es-ES" w:eastAsia="es-ES"/>
                    </w:rPr>
                    <w:t>.</w:t>
                  </w:r>
                  <w:r w:rsidRPr="00A67A13">
                    <w:rPr>
                      <w:rFonts w:asciiTheme="minorHAnsi" w:hAnsiTheme="minorHAnsi" w:cstheme="minorHAnsi"/>
                      <w:b w:val="0"/>
                      <w:color w:val="000000"/>
                      <w:sz w:val="20"/>
                      <w:szCs w:val="20"/>
                      <w:lang w:val="es-ES" w:eastAsia="es-ES"/>
                    </w:rPr>
                    <w:t>103</w:t>
                  </w:r>
                </w:p>
              </w:tc>
              <w:tc>
                <w:tcPr>
                  <w:tcW w:w="1446" w:type="dxa"/>
                  <w:tcBorders>
                    <w:top w:val="single" w:sz="4" w:space="0" w:color="A9D08E"/>
                    <w:left w:val="nil"/>
                    <w:bottom w:val="single" w:sz="4" w:space="0" w:color="A9D08E"/>
                    <w:right w:val="single" w:sz="4" w:space="0" w:color="A9D08E"/>
                  </w:tcBorders>
                  <w:shd w:val="clear" w:color="E2EFDA" w:fill="E2EFDA"/>
                  <w:noWrap/>
                  <w:vAlign w:val="center"/>
                  <w:hideMark/>
                </w:tcPr>
                <w:p w:rsidR="00FD2429" w:rsidRPr="000748EF" w:rsidRDefault="00E11C5E" w:rsidP="00FD2429">
                  <w:pPr>
                    <w:rPr>
                      <w:rFonts w:asciiTheme="minorHAnsi" w:hAnsiTheme="minorHAnsi" w:cstheme="minorHAnsi"/>
                      <w:color w:val="000000"/>
                      <w:sz w:val="20"/>
                      <w:szCs w:val="20"/>
                    </w:rPr>
                  </w:pPr>
                  <w:r>
                    <w:rPr>
                      <w:rFonts w:asciiTheme="minorHAnsi" w:hAnsiTheme="minorHAnsi" w:cstheme="minorHAnsi"/>
                      <w:color w:val="000000"/>
                      <w:sz w:val="20"/>
                      <w:szCs w:val="20"/>
                    </w:rPr>
                    <w:t>100</w:t>
                  </w:r>
                  <w:r w:rsidR="00FD2429" w:rsidRPr="000748EF">
                    <w:rPr>
                      <w:rFonts w:asciiTheme="minorHAnsi" w:hAnsiTheme="minorHAnsi" w:cstheme="minorHAnsi"/>
                      <w:color w:val="000000"/>
                      <w:sz w:val="20"/>
                      <w:szCs w:val="20"/>
                    </w:rPr>
                    <w:t>%</w:t>
                  </w:r>
                </w:p>
              </w:tc>
            </w:tr>
            <w:tr w:rsidR="00FD2429" w:rsidRPr="000748EF" w:rsidTr="00FD2429">
              <w:trPr>
                <w:trHeight w:val="300"/>
              </w:trPr>
              <w:tc>
                <w:tcPr>
                  <w:tcW w:w="1727" w:type="dxa"/>
                  <w:gridSpan w:val="2"/>
                  <w:tcBorders>
                    <w:top w:val="single" w:sz="4" w:space="0" w:color="A9D08E"/>
                    <w:left w:val="single" w:sz="4" w:space="0" w:color="A9D08E"/>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p>
              </w:tc>
              <w:tc>
                <w:tcPr>
                  <w:tcW w:w="1817"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SERVICIOS PUBLICOS</w:t>
                  </w:r>
                </w:p>
              </w:tc>
              <w:tc>
                <w:tcPr>
                  <w:tcW w:w="1418"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 </w:t>
                  </w:r>
                  <w:r w:rsidR="000748EF" w:rsidRPr="000748EF">
                    <w:rPr>
                      <w:rFonts w:asciiTheme="minorHAnsi" w:hAnsiTheme="minorHAnsi" w:cstheme="minorHAnsi"/>
                      <w:b w:val="0"/>
                      <w:color w:val="000000"/>
                      <w:sz w:val="20"/>
                      <w:szCs w:val="20"/>
                      <w:lang w:val="es-ES" w:eastAsia="es-ES"/>
                    </w:rPr>
                    <w:t>13.035.000</w:t>
                  </w:r>
                </w:p>
              </w:tc>
              <w:tc>
                <w:tcPr>
                  <w:tcW w:w="2069" w:type="dxa"/>
                  <w:tcBorders>
                    <w:top w:val="single" w:sz="4" w:space="0" w:color="A9D08E"/>
                    <w:left w:val="nil"/>
                    <w:bottom w:val="single" w:sz="4" w:space="0" w:color="A9D08E"/>
                    <w:right w:val="nil"/>
                  </w:tcBorders>
                  <w:shd w:val="clear" w:color="E2EFDA" w:fill="E2EFDA"/>
                  <w:vAlign w:val="center"/>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Servicios prestados a las empresas y servicios de producción </w:t>
                  </w:r>
                </w:p>
              </w:tc>
              <w:tc>
                <w:tcPr>
                  <w:tcW w:w="1586"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 </w:t>
                  </w:r>
                  <w:r w:rsidR="00A37316" w:rsidRPr="00A37316">
                    <w:rPr>
                      <w:rFonts w:asciiTheme="minorHAnsi" w:hAnsiTheme="minorHAnsi" w:cstheme="minorHAnsi"/>
                      <w:b w:val="0"/>
                      <w:color w:val="000000"/>
                      <w:sz w:val="20"/>
                      <w:szCs w:val="20"/>
                      <w:lang w:val="es-ES" w:eastAsia="es-ES"/>
                    </w:rPr>
                    <w:t>266</w:t>
                  </w:r>
                  <w:r w:rsidR="00A37316">
                    <w:rPr>
                      <w:rFonts w:asciiTheme="minorHAnsi" w:hAnsiTheme="minorHAnsi" w:cstheme="minorHAnsi"/>
                      <w:b w:val="0"/>
                      <w:color w:val="000000"/>
                      <w:sz w:val="20"/>
                      <w:szCs w:val="20"/>
                      <w:lang w:val="es-ES" w:eastAsia="es-ES"/>
                    </w:rPr>
                    <w:t>.</w:t>
                  </w:r>
                  <w:r w:rsidR="00A37316" w:rsidRPr="00A37316">
                    <w:rPr>
                      <w:rFonts w:asciiTheme="minorHAnsi" w:hAnsiTheme="minorHAnsi" w:cstheme="minorHAnsi"/>
                      <w:b w:val="0"/>
                      <w:color w:val="000000"/>
                      <w:sz w:val="20"/>
                      <w:szCs w:val="20"/>
                      <w:lang w:val="es-ES" w:eastAsia="es-ES"/>
                    </w:rPr>
                    <w:t>347</w:t>
                  </w:r>
                  <w:r w:rsidR="00A37316">
                    <w:rPr>
                      <w:rFonts w:asciiTheme="minorHAnsi" w:hAnsiTheme="minorHAnsi" w:cstheme="minorHAnsi"/>
                      <w:b w:val="0"/>
                      <w:color w:val="000000"/>
                      <w:sz w:val="20"/>
                      <w:szCs w:val="20"/>
                      <w:lang w:val="es-ES" w:eastAsia="es-ES"/>
                    </w:rPr>
                    <w:t>.</w:t>
                  </w:r>
                  <w:r w:rsidR="00A37316" w:rsidRPr="00A37316">
                    <w:rPr>
                      <w:rFonts w:asciiTheme="minorHAnsi" w:hAnsiTheme="minorHAnsi" w:cstheme="minorHAnsi"/>
                      <w:b w:val="0"/>
                      <w:color w:val="000000"/>
                      <w:sz w:val="20"/>
                      <w:szCs w:val="20"/>
                      <w:lang w:val="es-ES" w:eastAsia="es-ES"/>
                    </w:rPr>
                    <w:t>585</w:t>
                  </w:r>
                </w:p>
              </w:tc>
              <w:tc>
                <w:tcPr>
                  <w:tcW w:w="1446" w:type="dxa"/>
                  <w:tcBorders>
                    <w:top w:val="single" w:sz="4" w:space="0" w:color="A9D08E"/>
                    <w:left w:val="nil"/>
                    <w:bottom w:val="single" w:sz="4" w:space="0" w:color="A9D08E"/>
                    <w:right w:val="single" w:sz="4" w:space="0" w:color="A9D08E"/>
                  </w:tcBorders>
                  <w:shd w:val="clear" w:color="E2EFDA" w:fill="E2EFDA"/>
                  <w:noWrap/>
                  <w:vAlign w:val="center"/>
                  <w:hideMark/>
                </w:tcPr>
                <w:p w:rsidR="00FD2429" w:rsidRPr="000748EF" w:rsidRDefault="00FD2429" w:rsidP="00FD2429">
                  <w:pPr>
                    <w:rPr>
                      <w:rFonts w:asciiTheme="minorHAnsi" w:hAnsiTheme="minorHAnsi" w:cstheme="minorHAnsi"/>
                      <w:color w:val="000000"/>
                      <w:sz w:val="20"/>
                      <w:szCs w:val="20"/>
                    </w:rPr>
                  </w:pPr>
                  <w:r w:rsidRPr="000748EF">
                    <w:rPr>
                      <w:rFonts w:asciiTheme="minorHAnsi" w:hAnsiTheme="minorHAnsi" w:cstheme="minorHAnsi"/>
                      <w:color w:val="000000"/>
                      <w:sz w:val="20"/>
                      <w:szCs w:val="20"/>
                    </w:rPr>
                    <w:t>Sin determinar</w:t>
                  </w:r>
                </w:p>
              </w:tc>
            </w:tr>
            <w:tr w:rsidR="00FD2429" w:rsidRPr="000748EF" w:rsidTr="00FD2429">
              <w:trPr>
                <w:trHeight w:val="300"/>
              </w:trPr>
              <w:tc>
                <w:tcPr>
                  <w:tcW w:w="1727" w:type="dxa"/>
                  <w:gridSpan w:val="2"/>
                  <w:tcBorders>
                    <w:top w:val="single" w:sz="4" w:space="0" w:color="A9D08E"/>
                    <w:left w:val="single" w:sz="4" w:space="0" w:color="A9D08E"/>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p>
              </w:tc>
              <w:tc>
                <w:tcPr>
                  <w:tcW w:w="1817"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IMPRESOS Y PUBLICACIONES</w:t>
                  </w:r>
                </w:p>
              </w:tc>
              <w:tc>
                <w:tcPr>
                  <w:tcW w:w="1418"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xml:space="preserve">$ </w:t>
                  </w:r>
                  <w:r w:rsidR="000748EF" w:rsidRPr="000748EF">
                    <w:rPr>
                      <w:rFonts w:asciiTheme="minorHAnsi" w:hAnsiTheme="minorHAnsi" w:cstheme="minorHAnsi"/>
                      <w:b w:val="0"/>
                      <w:color w:val="000000"/>
                      <w:sz w:val="20"/>
                      <w:szCs w:val="20"/>
                      <w:lang w:val="es-ES" w:eastAsia="es-ES"/>
                    </w:rPr>
                    <w:t>578.400</w:t>
                  </w:r>
                </w:p>
              </w:tc>
              <w:tc>
                <w:tcPr>
                  <w:tcW w:w="2069" w:type="dxa"/>
                  <w:tcBorders>
                    <w:top w:val="single" w:sz="4" w:space="0" w:color="A9D08E"/>
                    <w:left w:val="nil"/>
                    <w:bottom w:val="single" w:sz="4" w:space="0" w:color="A9D08E"/>
                    <w:right w:val="nil"/>
                  </w:tcBorders>
                  <w:vAlign w:val="center"/>
                </w:tcPr>
                <w:p w:rsidR="00FD2429" w:rsidRPr="000748EF" w:rsidRDefault="00FD2429" w:rsidP="00FD2429">
                  <w:pPr>
                    <w:rPr>
                      <w:rFonts w:asciiTheme="minorHAnsi" w:hAnsiTheme="minorHAnsi" w:cstheme="minorHAnsi"/>
                      <w:b w:val="0"/>
                      <w:color w:val="000000"/>
                      <w:sz w:val="20"/>
                      <w:szCs w:val="20"/>
                      <w:lang w:val="es-ES" w:eastAsia="es-ES"/>
                    </w:rPr>
                  </w:pPr>
                </w:p>
              </w:tc>
              <w:tc>
                <w:tcPr>
                  <w:tcW w:w="1586"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$ 0</w:t>
                  </w:r>
                </w:p>
              </w:tc>
              <w:tc>
                <w:tcPr>
                  <w:tcW w:w="1446" w:type="dxa"/>
                  <w:tcBorders>
                    <w:top w:val="single" w:sz="4" w:space="0" w:color="A9D08E"/>
                    <w:left w:val="nil"/>
                    <w:bottom w:val="single" w:sz="4" w:space="0" w:color="A9D08E"/>
                    <w:right w:val="single" w:sz="4" w:space="0" w:color="A9D08E"/>
                  </w:tcBorders>
                  <w:shd w:val="clear" w:color="auto" w:fill="auto"/>
                  <w:noWrap/>
                  <w:vAlign w:val="center"/>
                  <w:hideMark/>
                </w:tcPr>
                <w:p w:rsidR="00FD2429" w:rsidRPr="000748EF" w:rsidRDefault="00FD2429" w:rsidP="00FD2429">
                  <w:pPr>
                    <w:rPr>
                      <w:rFonts w:asciiTheme="minorHAnsi" w:hAnsiTheme="minorHAnsi" w:cstheme="minorHAnsi"/>
                      <w:color w:val="000000"/>
                      <w:sz w:val="20"/>
                      <w:szCs w:val="20"/>
                    </w:rPr>
                  </w:pPr>
                  <w:r w:rsidRPr="000748EF">
                    <w:rPr>
                      <w:rFonts w:asciiTheme="minorHAnsi" w:hAnsiTheme="minorHAnsi" w:cstheme="minorHAnsi"/>
                      <w:color w:val="000000"/>
                      <w:sz w:val="20"/>
                      <w:szCs w:val="20"/>
                    </w:rPr>
                    <w:t>Sin determinar</w:t>
                  </w:r>
                </w:p>
              </w:tc>
            </w:tr>
            <w:tr w:rsidR="00FD2429" w:rsidRPr="000748EF" w:rsidTr="00FD2429">
              <w:trPr>
                <w:trHeight w:val="300"/>
              </w:trPr>
              <w:tc>
                <w:tcPr>
                  <w:tcW w:w="1727" w:type="dxa"/>
                  <w:gridSpan w:val="2"/>
                  <w:tcBorders>
                    <w:top w:val="single" w:sz="4" w:space="0" w:color="A9D08E"/>
                    <w:left w:val="single" w:sz="4" w:space="0" w:color="A9D08E"/>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p>
              </w:tc>
              <w:tc>
                <w:tcPr>
                  <w:tcW w:w="1817"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COMBUSTIBLE Y LUBRICANTES</w:t>
                  </w:r>
                </w:p>
              </w:tc>
              <w:tc>
                <w:tcPr>
                  <w:tcW w:w="1418"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$ 0</w:t>
                  </w:r>
                </w:p>
              </w:tc>
              <w:tc>
                <w:tcPr>
                  <w:tcW w:w="2069" w:type="dxa"/>
                  <w:tcBorders>
                    <w:top w:val="single" w:sz="4" w:space="0" w:color="A9D08E"/>
                    <w:left w:val="nil"/>
                    <w:bottom w:val="single" w:sz="4" w:space="0" w:color="A9D08E"/>
                    <w:right w:val="nil"/>
                  </w:tcBorders>
                  <w:shd w:val="clear" w:color="E2EFDA" w:fill="E2EFDA"/>
                  <w:vAlign w:val="center"/>
                </w:tcPr>
                <w:p w:rsidR="00FD2429" w:rsidRPr="000748EF" w:rsidRDefault="00FD2429" w:rsidP="00FD2429">
                  <w:pPr>
                    <w:rPr>
                      <w:rFonts w:asciiTheme="minorHAnsi" w:hAnsiTheme="minorHAnsi" w:cstheme="minorHAnsi"/>
                      <w:b w:val="0"/>
                      <w:color w:val="000000"/>
                      <w:sz w:val="20"/>
                      <w:szCs w:val="20"/>
                      <w:lang w:val="es-ES" w:eastAsia="es-ES"/>
                    </w:rPr>
                  </w:pPr>
                </w:p>
              </w:tc>
              <w:tc>
                <w:tcPr>
                  <w:tcW w:w="1586" w:type="dxa"/>
                  <w:tcBorders>
                    <w:top w:val="single" w:sz="4" w:space="0" w:color="A9D08E"/>
                    <w:left w:val="nil"/>
                    <w:bottom w:val="single" w:sz="4" w:space="0" w:color="A9D08E"/>
                    <w:right w:val="nil"/>
                  </w:tcBorders>
                  <w:shd w:val="clear" w:color="E2EFDA" w:fill="E2EFDA"/>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$ 0</w:t>
                  </w:r>
                </w:p>
              </w:tc>
              <w:tc>
                <w:tcPr>
                  <w:tcW w:w="1446" w:type="dxa"/>
                  <w:tcBorders>
                    <w:top w:val="single" w:sz="4" w:space="0" w:color="A9D08E"/>
                    <w:left w:val="nil"/>
                    <w:bottom w:val="single" w:sz="4" w:space="0" w:color="A9D08E"/>
                    <w:right w:val="single" w:sz="4" w:space="0" w:color="A9D08E"/>
                  </w:tcBorders>
                  <w:shd w:val="clear" w:color="E2EFDA" w:fill="E2EFDA"/>
                  <w:noWrap/>
                  <w:vAlign w:val="center"/>
                  <w:hideMark/>
                </w:tcPr>
                <w:p w:rsidR="00FD2429" w:rsidRPr="000748EF" w:rsidRDefault="00FD2429" w:rsidP="00FD2429">
                  <w:pPr>
                    <w:rPr>
                      <w:rFonts w:asciiTheme="minorHAnsi" w:hAnsiTheme="minorHAnsi" w:cstheme="minorHAnsi"/>
                      <w:color w:val="000000"/>
                      <w:sz w:val="20"/>
                      <w:szCs w:val="20"/>
                    </w:rPr>
                  </w:pPr>
                  <w:r w:rsidRPr="000748EF">
                    <w:rPr>
                      <w:rFonts w:asciiTheme="minorHAnsi" w:hAnsiTheme="minorHAnsi" w:cstheme="minorHAnsi"/>
                      <w:color w:val="000000"/>
                      <w:sz w:val="20"/>
                      <w:szCs w:val="20"/>
                    </w:rPr>
                    <w:t>00%</w:t>
                  </w:r>
                </w:p>
              </w:tc>
            </w:tr>
            <w:tr w:rsidR="00FD2429" w:rsidRPr="000748EF" w:rsidTr="00FD2429">
              <w:trPr>
                <w:trHeight w:val="300"/>
              </w:trPr>
              <w:tc>
                <w:tcPr>
                  <w:tcW w:w="1727" w:type="dxa"/>
                  <w:gridSpan w:val="2"/>
                  <w:tcBorders>
                    <w:top w:val="single" w:sz="4" w:space="0" w:color="A9D08E"/>
                    <w:left w:val="single" w:sz="4" w:space="0" w:color="A9D08E"/>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p>
              </w:tc>
              <w:tc>
                <w:tcPr>
                  <w:tcW w:w="1817"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PAPELERIA Y UTILES DE ESCRITORIO</w:t>
                  </w:r>
                </w:p>
              </w:tc>
              <w:tc>
                <w:tcPr>
                  <w:tcW w:w="1418"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$ 0</w:t>
                  </w:r>
                </w:p>
              </w:tc>
              <w:tc>
                <w:tcPr>
                  <w:tcW w:w="2069" w:type="dxa"/>
                  <w:tcBorders>
                    <w:top w:val="single" w:sz="4" w:space="0" w:color="A9D08E"/>
                    <w:left w:val="nil"/>
                    <w:bottom w:val="single" w:sz="4" w:space="0" w:color="A9D08E"/>
                    <w:right w:val="nil"/>
                  </w:tcBorders>
                  <w:vAlign w:val="center"/>
                </w:tcPr>
                <w:p w:rsidR="00FD2429" w:rsidRPr="000748EF" w:rsidRDefault="00FD2429" w:rsidP="00FD2429">
                  <w:pPr>
                    <w:rPr>
                      <w:rFonts w:asciiTheme="minorHAnsi" w:hAnsiTheme="minorHAnsi" w:cstheme="minorHAnsi"/>
                      <w:b w:val="0"/>
                      <w:color w:val="000000"/>
                      <w:sz w:val="20"/>
                      <w:szCs w:val="20"/>
                      <w:lang w:val="es-ES" w:eastAsia="es-ES"/>
                    </w:rPr>
                  </w:pPr>
                </w:p>
              </w:tc>
              <w:tc>
                <w:tcPr>
                  <w:tcW w:w="1586" w:type="dxa"/>
                  <w:tcBorders>
                    <w:top w:val="single" w:sz="4" w:space="0" w:color="A9D08E"/>
                    <w:left w:val="nil"/>
                    <w:bottom w:val="single" w:sz="4" w:space="0" w:color="A9D08E"/>
                    <w:right w:val="nil"/>
                  </w:tcBorders>
                  <w:shd w:val="clear" w:color="auto" w:fill="auto"/>
                  <w:noWrap/>
                  <w:vAlign w:val="center"/>
                  <w:hideMark/>
                </w:tcPr>
                <w:p w:rsidR="00FD2429" w:rsidRPr="000748EF" w:rsidRDefault="00FD2429" w:rsidP="00FD2429">
                  <w:pPr>
                    <w:rPr>
                      <w:rFonts w:asciiTheme="minorHAnsi" w:hAnsiTheme="minorHAnsi" w:cstheme="minorHAnsi"/>
                      <w:b w:val="0"/>
                      <w:color w:val="000000"/>
                      <w:sz w:val="20"/>
                      <w:szCs w:val="20"/>
                      <w:lang w:val="es-ES" w:eastAsia="es-ES"/>
                    </w:rPr>
                  </w:pPr>
                  <w:r w:rsidRPr="000748EF">
                    <w:rPr>
                      <w:rFonts w:asciiTheme="minorHAnsi" w:hAnsiTheme="minorHAnsi" w:cstheme="minorHAnsi"/>
                      <w:b w:val="0"/>
                      <w:color w:val="000000"/>
                      <w:sz w:val="20"/>
                      <w:szCs w:val="20"/>
                      <w:lang w:val="es-ES" w:eastAsia="es-ES"/>
                    </w:rPr>
                    <w:t>$ 0</w:t>
                  </w:r>
                </w:p>
              </w:tc>
              <w:tc>
                <w:tcPr>
                  <w:tcW w:w="1446" w:type="dxa"/>
                  <w:tcBorders>
                    <w:top w:val="single" w:sz="4" w:space="0" w:color="A9D08E"/>
                    <w:left w:val="nil"/>
                    <w:bottom w:val="single" w:sz="4" w:space="0" w:color="A9D08E"/>
                    <w:right w:val="single" w:sz="4" w:space="0" w:color="A9D08E"/>
                  </w:tcBorders>
                  <w:shd w:val="clear" w:color="auto" w:fill="auto"/>
                  <w:noWrap/>
                  <w:vAlign w:val="center"/>
                  <w:hideMark/>
                </w:tcPr>
                <w:p w:rsidR="00FD2429" w:rsidRPr="000748EF" w:rsidRDefault="00FD2429" w:rsidP="00FD2429">
                  <w:pPr>
                    <w:rPr>
                      <w:rFonts w:asciiTheme="minorHAnsi" w:hAnsiTheme="minorHAnsi" w:cstheme="minorHAnsi"/>
                      <w:color w:val="000000"/>
                      <w:sz w:val="20"/>
                      <w:szCs w:val="20"/>
                    </w:rPr>
                  </w:pPr>
                  <w:r w:rsidRPr="000748EF">
                    <w:rPr>
                      <w:rFonts w:asciiTheme="minorHAnsi" w:hAnsiTheme="minorHAnsi" w:cstheme="minorHAnsi"/>
                      <w:color w:val="000000"/>
                      <w:sz w:val="20"/>
                      <w:szCs w:val="20"/>
                    </w:rPr>
                    <w:t>00%</w:t>
                  </w:r>
                </w:p>
              </w:tc>
            </w:tr>
          </w:tbl>
          <w:p w:rsidR="00FD2429" w:rsidRPr="000748EF" w:rsidRDefault="00FD2429" w:rsidP="00FD2429">
            <w:pPr>
              <w:rPr>
                <w:rFonts w:asciiTheme="minorHAnsi" w:hAnsiTheme="minorHAnsi" w:cstheme="minorHAnsi"/>
                <w:sz w:val="20"/>
                <w:szCs w:val="20"/>
              </w:rPr>
            </w:pPr>
          </w:p>
        </w:tc>
      </w:tr>
      <w:tr w:rsidR="00FD2429" w:rsidRPr="004B42B7" w:rsidTr="007363EA">
        <w:trPr>
          <w:trHeight w:val="300"/>
        </w:trPr>
        <w:tc>
          <w:tcPr>
            <w:tcW w:w="5731" w:type="dxa"/>
            <w:tcBorders>
              <w:top w:val="single" w:sz="4" w:space="0" w:color="A9D08E"/>
              <w:left w:val="single" w:sz="4" w:space="0" w:color="A9D08E"/>
              <w:bottom w:val="single" w:sz="4" w:space="0" w:color="A9D08E"/>
              <w:right w:val="nil"/>
            </w:tcBorders>
            <w:shd w:val="clear" w:color="70AD47" w:fill="70AD47"/>
            <w:noWrap/>
          </w:tcPr>
          <w:p w:rsidR="00FD2429" w:rsidRDefault="00FD2429" w:rsidP="00FD2429"/>
        </w:tc>
        <w:tc>
          <w:tcPr>
            <w:tcW w:w="1362" w:type="dxa"/>
            <w:tcBorders>
              <w:top w:val="single" w:sz="4" w:space="0" w:color="A9D08E"/>
              <w:left w:val="nil"/>
              <w:bottom w:val="single" w:sz="4" w:space="0" w:color="A9D08E"/>
              <w:right w:val="nil"/>
            </w:tcBorders>
            <w:shd w:val="clear" w:color="70AD47" w:fill="70AD47"/>
            <w:noWrap/>
            <w:vAlign w:val="bottom"/>
          </w:tcPr>
          <w:p w:rsidR="00FD2429" w:rsidRPr="004B42B7" w:rsidRDefault="00FD2429" w:rsidP="00FD2429">
            <w:pPr>
              <w:rPr>
                <w:rFonts w:ascii="Calibri" w:hAnsi="Calibri" w:cs="Calibri"/>
                <w:bCs/>
                <w:color w:val="FFFFFF"/>
                <w:sz w:val="22"/>
                <w:szCs w:val="22"/>
                <w:lang w:val="es-ES" w:eastAsia="es-ES"/>
              </w:rPr>
            </w:pPr>
          </w:p>
        </w:tc>
        <w:tc>
          <w:tcPr>
            <w:tcW w:w="1018" w:type="dxa"/>
            <w:tcBorders>
              <w:top w:val="single" w:sz="4" w:space="0" w:color="A9D08E"/>
              <w:left w:val="nil"/>
              <w:bottom w:val="single" w:sz="4" w:space="0" w:color="A9D08E"/>
              <w:right w:val="nil"/>
            </w:tcBorders>
            <w:shd w:val="clear" w:color="70AD47" w:fill="70AD47"/>
            <w:noWrap/>
            <w:vAlign w:val="bottom"/>
          </w:tcPr>
          <w:p w:rsidR="00FD2429" w:rsidRPr="004B42B7" w:rsidRDefault="00FD2429" w:rsidP="00FD2429">
            <w:pPr>
              <w:rPr>
                <w:rFonts w:ascii="Calibri" w:hAnsi="Calibri" w:cs="Calibri"/>
                <w:bCs/>
                <w:color w:val="FFFFFF"/>
                <w:sz w:val="22"/>
                <w:szCs w:val="22"/>
                <w:lang w:val="es-ES" w:eastAsia="es-ES"/>
              </w:rPr>
            </w:pPr>
          </w:p>
        </w:tc>
        <w:tc>
          <w:tcPr>
            <w:tcW w:w="1018" w:type="dxa"/>
            <w:tcBorders>
              <w:top w:val="single" w:sz="4" w:space="0" w:color="A9D08E"/>
              <w:left w:val="nil"/>
              <w:bottom w:val="single" w:sz="4" w:space="0" w:color="A9D08E"/>
              <w:right w:val="nil"/>
            </w:tcBorders>
            <w:shd w:val="clear" w:color="70AD47" w:fill="70AD47"/>
            <w:noWrap/>
            <w:vAlign w:val="bottom"/>
          </w:tcPr>
          <w:p w:rsidR="00FD2429" w:rsidRPr="004B42B7" w:rsidRDefault="00FD2429" w:rsidP="00FD2429">
            <w:pPr>
              <w:rPr>
                <w:rFonts w:ascii="Calibri" w:hAnsi="Calibri" w:cs="Calibri"/>
                <w:bCs/>
                <w:color w:val="FFFFFF"/>
                <w:sz w:val="22"/>
                <w:szCs w:val="22"/>
                <w:lang w:val="es-ES" w:eastAsia="es-ES"/>
              </w:rPr>
            </w:pPr>
          </w:p>
        </w:tc>
        <w:tc>
          <w:tcPr>
            <w:tcW w:w="934" w:type="dxa"/>
            <w:tcBorders>
              <w:top w:val="single" w:sz="4" w:space="0" w:color="A9D08E"/>
              <w:left w:val="nil"/>
              <w:bottom w:val="single" w:sz="4" w:space="0" w:color="A9D08E"/>
              <w:right w:val="single" w:sz="4" w:space="0" w:color="A9D08E"/>
            </w:tcBorders>
            <w:shd w:val="clear" w:color="70AD47" w:fill="70AD47"/>
            <w:noWrap/>
            <w:vAlign w:val="bottom"/>
          </w:tcPr>
          <w:p w:rsidR="00FD2429" w:rsidRPr="004B42B7" w:rsidRDefault="00FD2429" w:rsidP="00FD2429">
            <w:pPr>
              <w:rPr>
                <w:rFonts w:ascii="Calibri" w:hAnsi="Calibri" w:cs="Calibri"/>
                <w:bCs/>
                <w:color w:val="FFFFFF"/>
                <w:sz w:val="22"/>
                <w:szCs w:val="22"/>
                <w:lang w:val="es-ES" w:eastAsia="es-ES"/>
              </w:rPr>
            </w:pPr>
          </w:p>
        </w:tc>
      </w:tr>
      <w:tr w:rsidR="000748EF" w:rsidRPr="004B42B7" w:rsidTr="007363EA">
        <w:trPr>
          <w:trHeight w:val="300"/>
        </w:trPr>
        <w:tc>
          <w:tcPr>
            <w:tcW w:w="5731" w:type="dxa"/>
            <w:tcBorders>
              <w:top w:val="single" w:sz="4" w:space="0" w:color="A9D08E"/>
              <w:left w:val="single" w:sz="4" w:space="0" w:color="A9D08E"/>
              <w:bottom w:val="single" w:sz="4" w:space="0" w:color="A9D08E"/>
              <w:right w:val="nil"/>
            </w:tcBorders>
            <w:shd w:val="clear" w:color="70AD47" w:fill="70AD47"/>
            <w:noWrap/>
          </w:tcPr>
          <w:p w:rsidR="000748EF" w:rsidRDefault="000748EF" w:rsidP="00FD2429"/>
        </w:tc>
        <w:tc>
          <w:tcPr>
            <w:tcW w:w="1362" w:type="dxa"/>
            <w:tcBorders>
              <w:top w:val="single" w:sz="4" w:space="0" w:color="A9D08E"/>
              <w:left w:val="nil"/>
              <w:bottom w:val="single" w:sz="4" w:space="0" w:color="A9D08E"/>
              <w:right w:val="nil"/>
            </w:tcBorders>
            <w:shd w:val="clear" w:color="70AD47" w:fill="70AD47"/>
            <w:noWrap/>
            <w:vAlign w:val="bottom"/>
          </w:tcPr>
          <w:p w:rsidR="000748EF" w:rsidRPr="004B42B7" w:rsidRDefault="000748EF" w:rsidP="00FD2429">
            <w:pPr>
              <w:rPr>
                <w:rFonts w:ascii="Calibri" w:hAnsi="Calibri" w:cs="Calibri"/>
                <w:bCs/>
                <w:color w:val="FFFFFF"/>
                <w:sz w:val="22"/>
                <w:szCs w:val="22"/>
                <w:lang w:val="es-ES" w:eastAsia="es-ES"/>
              </w:rPr>
            </w:pPr>
          </w:p>
        </w:tc>
        <w:tc>
          <w:tcPr>
            <w:tcW w:w="1018" w:type="dxa"/>
            <w:tcBorders>
              <w:top w:val="single" w:sz="4" w:space="0" w:color="A9D08E"/>
              <w:left w:val="nil"/>
              <w:bottom w:val="single" w:sz="4" w:space="0" w:color="A9D08E"/>
              <w:right w:val="nil"/>
            </w:tcBorders>
            <w:shd w:val="clear" w:color="70AD47" w:fill="70AD47"/>
            <w:noWrap/>
            <w:vAlign w:val="bottom"/>
          </w:tcPr>
          <w:p w:rsidR="000748EF" w:rsidRPr="004B42B7" w:rsidRDefault="000748EF" w:rsidP="00FD2429">
            <w:pPr>
              <w:rPr>
                <w:rFonts w:ascii="Calibri" w:hAnsi="Calibri" w:cs="Calibri"/>
                <w:bCs/>
                <w:color w:val="FFFFFF"/>
                <w:sz w:val="22"/>
                <w:szCs w:val="22"/>
                <w:lang w:val="es-ES" w:eastAsia="es-ES"/>
              </w:rPr>
            </w:pPr>
          </w:p>
        </w:tc>
        <w:tc>
          <w:tcPr>
            <w:tcW w:w="1018" w:type="dxa"/>
            <w:tcBorders>
              <w:top w:val="single" w:sz="4" w:space="0" w:color="A9D08E"/>
              <w:left w:val="nil"/>
              <w:bottom w:val="single" w:sz="4" w:space="0" w:color="A9D08E"/>
              <w:right w:val="nil"/>
            </w:tcBorders>
            <w:shd w:val="clear" w:color="70AD47" w:fill="70AD47"/>
            <w:noWrap/>
            <w:vAlign w:val="bottom"/>
          </w:tcPr>
          <w:p w:rsidR="000748EF" w:rsidRPr="004B42B7" w:rsidRDefault="000748EF" w:rsidP="00FD2429">
            <w:pPr>
              <w:rPr>
                <w:rFonts w:ascii="Calibri" w:hAnsi="Calibri" w:cs="Calibri"/>
                <w:bCs/>
                <w:color w:val="FFFFFF"/>
                <w:sz w:val="22"/>
                <w:szCs w:val="22"/>
                <w:lang w:val="es-ES" w:eastAsia="es-ES"/>
              </w:rPr>
            </w:pPr>
          </w:p>
        </w:tc>
        <w:tc>
          <w:tcPr>
            <w:tcW w:w="934" w:type="dxa"/>
            <w:tcBorders>
              <w:top w:val="single" w:sz="4" w:space="0" w:color="A9D08E"/>
              <w:left w:val="nil"/>
              <w:bottom w:val="single" w:sz="4" w:space="0" w:color="A9D08E"/>
              <w:right w:val="single" w:sz="4" w:space="0" w:color="A9D08E"/>
            </w:tcBorders>
            <w:shd w:val="clear" w:color="70AD47" w:fill="70AD47"/>
            <w:noWrap/>
            <w:vAlign w:val="bottom"/>
          </w:tcPr>
          <w:p w:rsidR="000748EF" w:rsidRPr="004B42B7" w:rsidRDefault="000748EF" w:rsidP="00FD2429">
            <w:pPr>
              <w:rPr>
                <w:rFonts w:ascii="Calibri" w:hAnsi="Calibri" w:cs="Calibri"/>
                <w:bCs/>
                <w:color w:val="FFFFFF"/>
                <w:sz w:val="22"/>
                <w:szCs w:val="22"/>
                <w:lang w:val="es-ES" w:eastAsia="es-ES"/>
              </w:rPr>
            </w:pPr>
          </w:p>
        </w:tc>
      </w:tr>
      <w:tr w:rsidR="00FD2429" w:rsidRPr="004B42B7" w:rsidTr="007363EA">
        <w:trPr>
          <w:trHeight w:val="300"/>
        </w:trPr>
        <w:tc>
          <w:tcPr>
            <w:tcW w:w="5731" w:type="dxa"/>
            <w:tcBorders>
              <w:top w:val="single" w:sz="4" w:space="0" w:color="A9D08E"/>
              <w:left w:val="single" w:sz="4" w:space="0" w:color="A9D08E"/>
              <w:bottom w:val="single" w:sz="4" w:space="0" w:color="A9D08E"/>
              <w:right w:val="nil"/>
            </w:tcBorders>
            <w:shd w:val="clear" w:color="E2EFDA" w:fill="E2EFDA"/>
            <w:noWrap/>
          </w:tcPr>
          <w:p w:rsidR="00FD2429" w:rsidRDefault="00FD2429" w:rsidP="00FD2429"/>
        </w:tc>
        <w:tc>
          <w:tcPr>
            <w:tcW w:w="1362" w:type="dxa"/>
            <w:tcBorders>
              <w:top w:val="single" w:sz="4" w:space="0" w:color="A9D08E"/>
              <w:left w:val="nil"/>
              <w:bottom w:val="single" w:sz="4" w:space="0" w:color="A9D08E"/>
              <w:right w:val="nil"/>
            </w:tcBorders>
            <w:shd w:val="clear" w:color="E2EFDA" w:fill="E2EFDA"/>
            <w:noWrap/>
            <w:vAlign w:val="bottom"/>
          </w:tcPr>
          <w:p w:rsidR="00FD2429" w:rsidRPr="00FD2429" w:rsidRDefault="00FD2429" w:rsidP="00FD2429">
            <w:pPr>
              <w:ind w:hanging="70"/>
              <w:rPr>
                <w:rFonts w:ascii="Calibri" w:hAnsi="Calibri" w:cs="Calibri"/>
                <w:b w:val="0"/>
                <w:color w:val="000000"/>
                <w:sz w:val="20"/>
                <w:szCs w:val="20"/>
                <w:lang w:val="es-ES" w:eastAsia="es-ES"/>
              </w:rPr>
            </w:pPr>
          </w:p>
        </w:tc>
        <w:tc>
          <w:tcPr>
            <w:tcW w:w="1018" w:type="dxa"/>
            <w:tcBorders>
              <w:top w:val="single" w:sz="4" w:space="0" w:color="A9D08E"/>
              <w:left w:val="nil"/>
              <w:bottom w:val="single" w:sz="4" w:space="0" w:color="A9D08E"/>
              <w:right w:val="nil"/>
            </w:tcBorders>
            <w:shd w:val="clear" w:color="E2EFDA" w:fill="E2EFDA"/>
            <w:noWrap/>
            <w:vAlign w:val="bottom"/>
          </w:tcPr>
          <w:p w:rsidR="00FD2429" w:rsidRPr="00FD2429" w:rsidRDefault="00FD2429" w:rsidP="00FD2429">
            <w:pPr>
              <w:rPr>
                <w:rFonts w:asciiTheme="minorHAnsi" w:hAnsiTheme="minorHAnsi" w:cstheme="minorHAnsi"/>
                <w:b w:val="0"/>
                <w:color w:val="000000"/>
                <w:sz w:val="20"/>
                <w:szCs w:val="20"/>
              </w:rPr>
            </w:pPr>
          </w:p>
        </w:tc>
        <w:tc>
          <w:tcPr>
            <w:tcW w:w="1018" w:type="dxa"/>
            <w:tcBorders>
              <w:top w:val="single" w:sz="4" w:space="0" w:color="A9D08E"/>
              <w:left w:val="nil"/>
              <w:bottom w:val="single" w:sz="4" w:space="0" w:color="A9D08E"/>
              <w:right w:val="nil"/>
            </w:tcBorders>
            <w:shd w:val="clear" w:color="E2EFDA" w:fill="E2EFDA"/>
            <w:noWrap/>
            <w:vAlign w:val="bottom"/>
          </w:tcPr>
          <w:p w:rsidR="00FD2429" w:rsidRPr="00FD2429" w:rsidRDefault="00FD2429" w:rsidP="00FD2429">
            <w:pPr>
              <w:rPr>
                <w:rFonts w:asciiTheme="minorHAnsi" w:hAnsiTheme="minorHAnsi" w:cstheme="minorHAnsi"/>
                <w:b w:val="0"/>
                <w:color w:val="000000"/>
                <w:sz w:val="20"/>
                <w:szCs w:val="20"/>
              </w:rPr>
            </w:pPr>
          </w:p>
        </w:tc>
        <w:tc>
          <w:tcPr>
            <w:tcW w:w="934" w:type="dxa"/>
            <w:tcBorders>
              <w:top w:val="single" w:sz="4" w:space="0" w:color="A9D08E"/>
              <w:left w:val="nil"/>
              <w:bottom w:val="single" w:sz="4" w:space="0" w:color="A9D08E"/>
              <w:right w:val="single" w:sz="4" w:space="0" w:color="A9D08E"/>
            </w:tcBorders>
            <w:shd w:val="clear" w:color="E2EFDA" w:fill="E2EFDA"/>
            <w:noWrap/>
            <w:vAlign w:val="bottom"/>
          </w:tcPr>
          <w:p w:rsidR="00FD2429" w:rsidRPr="00FD2429" w:rsidRDefault="00FD2429" w:rsidP="00FD2429">
            <w:pPr>
              <w:jc w:val="right"/>
              <w:rPr>
                <w:rFonts w:ascii="Calibri" w:hAnsi="Calibri" w:cs="Calibri"/>
                <w:b w:val="0"/>
                <w:color w:val="000000"/>
                <w:sz w:val="20"/>
                <w:szCs w:val="20"/>
              </w:rPr>
            </w:pPr>
          </w:p>
        </w:tc>
      </w:tr>
      <w:tr w:rsidR="00FD2429" w:rsidRPr="004B42B7" w:rsidTr="007363EA">
        <w:trPr>
          <w:trHeight w:val="300"/>
        </w:trPr>
        <w:tc>
          <w:tcPr>
            <w:tcW w:w="5731" w:type="dxa"/>
            <w:tcBorders>
              <w:top w:val="single" w:sz="4" w:space="0" w:color="A9D08E"/>
              <w:left w:val="single" w:sz="4" w:space="0" w:color="A9D08E"/>
              <w:bottom w:val="single" w:sz="4" w:space="0" w:color="A9D08E"/>
              <w:right w:val="nil"/>
            </w:tcBorders>
            <w:shd w:val="clear" w:color="auto" w:fill="auto"/>
            <w:noWrap/>
          </w:tcPr>
          <w:p w:rsidR="00FD2429" w:rsidRDefault="00FD2429" w:rsidP="00FD2429"/>
        </w:tc>
        <w:tc>
          <w:tcPr>
            <w:tcW w:w="1362" w:type="dxa"/>
            <w:tcBorders>
              <w:top w:val="single" w:sz="4" w:space="0" w:color="A9D08E"/>
              <w:left w:val="nil"/>
              <w:bottom w:val="single" w:sz="4" w:space="0" w:color="A9D08E"/>
              <w:right w:val="nil"/>
            </w:tcBorders>
            <w:shd w:val="clear" w:color="auto" w:fill="auto"/>
            <w:noWrap/>
            <w:vAlign w:val="bottom"/>
          </w:tcPr>
          <w:p w:rsidR="00FD2429" w:rsidRPr="00FD2429" w:rsidRDefault="00FD2429" w:rsidP="00FD2429">
            <w:pPr>
              <w:ind w:left="-70" w:hanging="70"/>
              <w:rPr>
                <w:rFonts w:ascii="Calibri" w:hAnsi="Calibri" w:cs="Calibri"/>
                <w:b w:val="0"/>
                <w:color w:val="000000"/>
                <w:sz w:val="20"/>
                <w:szCs w:val="20"/>
                <w:lang w:val="es-ES" w:eastAsia="es-ES"/>
              </w:rPr>
            </w:pPr>
          </w:p>
        </w:tc>
        <w:tc>
          <w:tcPr>
            <w:tcW w:w="1018" w:type="dxa"/>
            <w:tcBorders>
              <w:top w:val="single" w:sz="4" w:space="0" w:color="A9D08E"/>
              <w:left w:val="nil"/>
              <w:bottom w:val="single" w:sz="4" w:space="0" w:color="A9D08E"/>
              <w:right w:val="nil"/>
            </w:tcBorders>
            <w:shd w:val="clear" w:color="auto" w:fill="auto"/>
            <w:noWrap/>
            <w:vAlign w:val="bottom"/>
          </w:tcPr>
          <w:p w:rsidR="00FD2429" w:rsidRPr="00FD2429" w:rsidRDefault="00FD2429" w:rsidP="00FD2429">
            <w:pPr>
              <w:rPr>
                <w:rFonts w:ascii="Calibri" w:hAnsi="Calibri" w:cs="Calibri"/>
                <w:b w:val="0"/>
                <w:color w:val="000000"/>
                <w:sz w:val="20"/>
                <w:szCs w:val="20"/>
                <w:lang w:val="es-ES" w:eastAsia="es-ES"/>
              </w:rPr>
            </w:pPr>
          </w:p>
        </w:tc>
        <w:tc>
          <w:tcPr>
            <w:tcW w:w="1018" w:type="dxa"/>
            <w:tcBorders>
              <w:top w:val="single" w:sz="4" w:space="0" w:color="A9D08E"/>
              <w:left w:val="nil"/>
              <w:bottom w:val="single" w:sz="4" w:space="0" w:color="A9D08E"/>
              <w:right w:val="nil"/>
            </w:tcBorders>
            <w:shd w:val="clear" w:color="auto" w:fill="auto"/>
            <w:noWrap/>
            <w:vAlign w:val="bottom"/>
          </w:tcPr>
          <w:p w:rsidR="00FD2429" w:rsidRPr="00FD2429" w:rsidRDefault="00FD2429" w:rsidP="00FD2429">
            <w:pPr>
              <w:jc w:val="right"/>
              <w:rPr>
                <w:rFonts w:ascii="Calibri" w:hAnsi="Calibri" w:cs="Calibri"/>
                <w:b w:val="0"/>
                <w:color w:val="000000"/>
                <w:sz w:val="20"/>
                <w:szCs w:val="20"/>
                <w:lang w:val="es-ES" w:eastAsia="es-ES"/>
              </w:rPr>
            </w:pPr>
          </w:p>
        </w:tc>
        <w:tc>
          <w:tcPr>
            <w:tcW w:w="934" w:type="dxa"/>
            <w:tcBorders>
              <w:top w:val="single" w:sz="4" w:space="0" w:color="A9D08E"/>
              <w:left w:val="nil"/>
              <w:bottom w:val="single" w:sz="4" w:space="0" w:color="A9D08E"/>
              <w:right w:val="single" w:sz="4" w:space="0" w:color="A9D08E"/>
            </w:tcBorders>
            <w:shd w:val="clear" w:color="auto" w:fill="auto"/>
            <w:noWrap/>
            <w:vAlign w:val="bottom"/>
          </w:tcPr>
          <w:p w:rsidR="00FD2429" w:rsidRPr="00FD2429" w:rsidRDefault="00FD2429" w:rsidP="00FD2429">
            <w:pPr>
              <w:jc w:val="right"/>
              <w:rPr>
                <w:rFonts w:ascii="Calibri" w:hAnsi="Calibri" w:cs="Calibri"/>
                <w:color w:val="000000"/>
                <w:sz w:val="20"/>
                <w:szCs w:val="20"/>
              </w:rPr>
            </w:pPr>
          </w:p>
        </w:tc>
      </w:tr>
    </w:tbl>
    <w:p w:rsidR="00F90DAE" w:rsidRDefault="00F90DAE" w:rsidP="00D57332">
      <w:pPr>
        <w:jc w:val="both"/>
        <w:rPr>
          <w:rFonts w:ascii="Arial" w:hAnsi="Arial" w:cs="Arial"/>
          <w:b w:val="0"/>
          <w:color w:val="000000"/>
        </w:rPr>
      </w:pPr>
    </w:p>
    <w:p w:rsidR="00236D89" w:rsidRDefault="00236D89" w:rsidP="00236D89">
      <w:pPr>
        <w:jc w:val="both"/>
        <w:rPr>
          <w:rFonts w:ascii="Arial" w:hAnsi="Arial" w:cs="Arial"/>
          <w:b w:val="0"/>
        </w:rPr>
      </w:pPr>
      <w:r w:rsidRPr="001E1866">
        <w:rPr>
          <w:rFonts w:ascii="Arial" w:hAnsi="Arial" w:cs="Arial"/>
          <w:b w:val="0"/>
        </w:rPr>
        <w:t>El Instituto de la Juventud, el Deporte y la Recreación de Bucaramanga adoptó el Catálogo de Clasificación Presupuestal para Entidades Territoriales y sus Descentralizadas – CCPET establecido en la Resolución No. 3832 del 18 de octubre de 2019, modificado por la Resolución N° 1355 de julio de 2020, a partir del 01 de enero de 2021. Por tal motivo en algunos conceptos no es posible realizar el comparativo de variación entre la vigencia 2020 y 2021.</w:t>
      </w:r>
    </w:p>
    <w:p w:rsidR="00F445B1" w:rsidRDefault="00F445B1" w:rsidP="00236D89">
      <w:pPr>
        <w:jc w:val="both"/>
        <w:rPr>
          <w:rFonts w:ascii="Arial" w:hAnsi="Arial" w:cs="Arial"/>
          <w:b w:val="0"/>
        </w:rPr>
      </w:pPr>
    </w:p>
    <w:p w:rsidR="00F445B1" w:rsidRPr="000748EF" w:rsidRDefault="00F445B1" w:rsidP="00F445B1">
      <w:pPr>
        <w:tabs>
          <w:tab w:val="left" w:pos="240"/>
        </w:tabs>
        <w:jc w:val="both"/>
        <w:rPr>
          <w:rFonts w:asciiTheme="minorHAnsi" w:hAnsiTheme="minorHAnsi" w:cstheme="minorHAnsi"/>
          <w:b w:val="0"/>
          <w:color w:val="000000"/>
          <w:sz w:val="20"/>
          <w:szCs w:val="20"/>
          <w:lang w:val="es-ES" w:eastAsia="es-ES"/>
        </w:rPr>
      </w:pPr>
      <w:r>
        <w:rPr>
          <w:rFonts w:ascii="Arial" w:hAnsi="Arial" w:cs="Arial"/>
          <w:b w:val="0"/>
        </w:rPr>
        <w:t xml:space="preserve">En el rubro de Nomina hoy </w:t>
      </w:r>
      <w:r w:rsidRPr="00F445B1">
        <w:rPr>
          <w:rFonts w:ascii="Arial" w:hAnsi="Arial" w:cs="Arial"/>
          <w:b w:val="0"/>
          <w:color w:val="000000"/>
          <w:lang w:val="es-ES" w:eastAsia="es-ES"/>
        </w:rPr>
        <w:t xml:space="preserve">Factores constitutivos y no </w:t>
      </w:r>
      <w:proofErr w:type="spellStart"/>
      <w:r w:rsidRPr="00F445B1">
        <w:rPr>
          <w:rFonts w:ascii="Arial" w:hAnsi="Arial" w:cs="Arial"/>
          <w:b w:val="0"/>
          <w:color w:val="000000"/>
          <w:lang w:val="es-ES" w:eastAsia="es-ES"/>
        </w:rPr>
        <w:t>const.</w:t>
      </w:r>
      <w:proofErr w:type="spellEnd"/>
      <w:r w:rsidRPr="00F445B1">
        <w:rPr>
          <w:rFonts w:ascii="Arial" w:hAnsi="Arial" w:cs="Arial"/>
          <w:b w:val="0"/>
          <w:color w:val="000000"/>
          <w:lang w:val="es-ES" w:eastAsia="es-ES"/>
        </w:rPr>
        <w:t xml:space="preserve"> de salario</w:t>
      </w:r>
      <w:r>
        <w:rPr>
          <w:rFonts w:ascii="Arial" w:hAnsi="Arial" w:cs="Arial"/>
          <w:b w:val="0"/>
          <w:color w:val="000000"/>
          <w:lang w:val="es-ES" w:eastAsia="es-ES"/>
        </w:rPr>
        <w:t xml:space="preserve"> se incrementó muy poco pues con la muerte del funcionario Saúl se disminuyó el pago de nómina mientras se nombra el reemplazo.</w:t>
      </w:r>
    </w:p>
    <w:p w:rsidR="00F445B1" w:rsidRPr="001E1866" w:rsidRDefault="00F445B1" w:rsidP="00236D89">
      <w:pPr>
        <w:jc w:val="both"/>
        <w:rPr>
          <w:rFonts w:ascii="Arial" w:hAnsi="Arial" w:cs="Arial"/>
          <w:b w:val="0"/>
        </w:rPr>
      </w:pPr>
      <w:r>
        <w:rPr>
          <w:rFonts w:ascii="Arial" w:hAnsi="Arial" w:cs="Arial"/>
          <w:b w:val="0"/>
        </w:rPr>
        <w:lastRenderedPageBreak/>
        <w:t>En el rubro de indemnización de vacaciones se evidencia un aumento significativo pues por la salida de los funcionarios como fueron la Directora los sub directores y la jurídica se incrementó demasiado el pago de indemnización de vacaciones.</w:t>
      </w:r>
    </w:p>
    <w:p w:rsidR="00236D89" w:rsidRPr="001E1866" w:rsidRDefault="00236D89" w:rsidP="00236D89">
      <w:pPr>
        <w:jc w:val="both"/>
        <w:rPr>
          <w:rFonts w:ascii="Arial" w:hAnsi="Arial" w:cs="Arial"/>
          <w:b w:val="0"/>
        </w:rPr>
      </w:pPr>
    </w:p>
    <w:p w:rsidR="00236D89" w:rsidRPr="001E1866" w:rsidRDefault="00236D89" w:rsidP="00236D89">
      <w:pPr>
        <w:jc w:val="both"/>
        <w:rPr>
          <w:rFonts w:ascii="Arial" w:hAnsi="Arial" w:cs="Arial"/>
          <w:b w:val="0"/>
        </w:rPr>
      </w:pPr>
      <w:r w:rsidRPr="001E1866">
        <w:rPr>
          <w:rFonts w:ascii="Arial" w:hAnsi="Arial" w:cs="Arial"/>
          <w:b w:val="0"/>
        </w:rPr>
        <w:t xml:space="preserve">Para la vigencia 2021 el rubro presupuestal Otros bienes transportables agrupa los conceptos de elementos de aseo y cafetería, papelería y útiles de escritorio, combustibles y lubricantes y materiales y suministros. A corte </w:t>
      </w:r>
      <w:r w:rsidR="000D0596">
        <w:rPr>
          <w:rFonts w:ascii="Arial" w:hAnsi="Arial" w:cs="Arial"/>
          <w:b w:val="0"/>
        </w:rPr>
        <w:t>septiembre</w:t>
      </w:r>
      <w:r w:rsidRPr="001E1866">
        <w:rPr>
          <w:rFonts w:ascii="Arial" w:hAnsi="Arial" w:cs="Arial"/>
          <w:b w:val="0"/>
        </w:rPr>
        <w:t xml:space="preserve"> de 2021 presenta una ejecución </w:t>
      </w:r>
      <w:r w:rsidRPr="00236D89">
        <w:rPr>
          <w:rFonts w:ascii="Arial" w:hAnsi="Arial" w:cs="Arial"/>
          <w:b w:val="0"/>
        </w:rPr>
        <w:t>de $</w:t>
      </w:r>
      <w:r w:rsidRPr="00236D89">
        <w:rPr>
          <w:rFonts w:ascii="Arial" w:hAnsi="Arial" w:cs="Arial"/>
          <w:b w:val="0"/>
          <w:color w:val="000000"/>
          <w:lang w:val="es-ES" w:eastAsia="es-ES"/>
        </w:rPr>
        <w:t>2.341.401</w:t>
      </w:r>
      <w:r>
        <w:rPr>
          <w:rFonts w:ascii="Arial" w:hAnsi="Arial" w:cs="Arial"/>
          <w:b w:val="0"/>
          <w:color w:val="000000"/>
          <w:lang w:val="es-ES" w:eastAsia="es-ES"/>
        </w:rPr>
        <w:t xml:space="preserve"> </w:t>
      </w:r>
      <w:r w:rsidRPr="00236D89">
        <w:rPr>
          <w:rFonts w:ascii="Arial" w:hAnsi="Arial" w:cs="Arial"/>
          <w:b w:val="0"/>
        </w:rPr>
        <w:t>por</w:t>
      </w:r>
      <w:r w:rsidRPr="001E1866">
        <w:rPr>
          <w:rFonts w:ascii="Arial" w:hAnsi="Arial" w:cs="Arial"/>
          <w:b w:val="0"/>
        </w:rPr>
        <w:t xml:space="preserve"> concepto de materiales y suministros (caja menor)</w:t>
      </w:r>
    </w:p>
    <w:p w:rsidR="00236D89" w:rsidRPr="001E1866" w:rsidRDefault="00236D89" w:rsidP="00236D89">
      <w:pPr>
        <w:jc w:val="both"/>
        <w:rPr>
          <w:rFonts w:ascii="Arial" w:hAnsi="Arial" w:cs="Arial"/>
          <w:b w:val="0"/>
        </w:rPr>
      </w:pPr>
    </w:p>
    <w:p w:rsidR="00236D89" w:rsidRPr="001E1866" w:rsidRDefault="00236D89" w:rsidP="00236D89">
      <w:pPr>
        <w:jc w:val="both"/>
        <w:rPr>
          <w:rFonts w:ascii="Arial" w:hAnsi="Arial" w:cs="Arial"/>
          <w:b w:val="0"/>
          <w:color w:val="000000"/>
        </w:rPr>
      </w:pPr>
      <w:r w:rsidRPr="001E1866">
        <w:rPr>
          <w:rFonts w:ascii="Arial" w:hAnsi="Arial" w:cs="Arial"/>
          <w:b w:val="0"/>
        </w:rPr>
        <w:t xml:space="preserve">El rubro presupuestal Servicios de alojamiento; servicios de suministro de comidas y bebidas; servicios de transporte; y servicios de distribución de electricidad, gas y agua agrupa los </w:t>
      </w:r>
      <w:r w:rsidRPr="001E1866">
        <w:rPr>
          <w:rFonts w:ascii="Arial" w:hAnsi="Arial" w:cs="Arial"/>
          <w:b w:val="0"/>
          <w:color w:val="000000"/>
        </w:rPr>
        <w:t xml:space="preserve">servicios de correspondencia, honorarios de gestión documental y caja menor comunicación y transporte. A corte de </w:t>
      </w:r>
      <w:r w:rsidR="000D0596">
        <w:rPr>
          <w:rFonts w:ascii="Arial" w:hAnsi="Arial" w:cs="Arial"/>
          <w:b w:val="0"/>
          <w:color w:val="000000"/>
        </w:rPr>
        <w:t>septiembre</w:t>
      </w:r>
      <w:r w:rsidRPr="001E1866">
        <w:rPr>
          <w:rFonts w:ascii="Arial" w:hAnsi="Arial" w:cs="Arial"/>
          <w:b w:val="0"/>
          <w:color w:val="000000"/>
        </w:rPr>
        <w:t xml:space="preserve"> de 2021 presenta una ejecución </w:t>
      </w:r>
      <w:r w:rsidRPr="00236D89">
        <w:rPr>
          <w:rFonts w:ascii="Arial" w:hAnsi="Arial" w:cs="Arial"/>
          <w:b w:val="0"/>
          <w:color w:val="000000"/>
        </w:rPr>
        <w:t>de $</w:t>
      </w:r>
      <w:r w:rsidRPr="00236D89">
        <w:rPr>
          <w:rFonts w:ascii="Arial" w:hAnsi="Arial" w:cs="Arial"/>
          <w:b w:val="0"/>
          <w:color w:val="000000"/>
          <w:lang w:val="es-ES" w:eastAsia="es-ES"/>
        </w:rPr>
        <w:t>56.703.333</w:t>
      </w:r>
      <w:r>
        <w:rPr>
          <w:rFonts w:ascii="Arial" w:hAnsi="Arial" w:cs="Arial"/>
          <w:b w:val="0"/>
          <w:color w:val="000000"/>
          <w:lang w:val="es-ES" w:eastAsia="es-ES"/>
        </w:rPr>
        <w:t xml:space="preserve"> </w:t>
      </w:r>
      <w:r w:rsidRPr="00236D89">
        <w:rPr>
          <w:rFonts w:ascii="Arial" w:hAnsi="Arial" w:cs="Arial"/>
          <w:b w:val="0"/>
          <w:color w:val="000000"/>
        </w:rPr>
        <w:t>el</w:t>
      </w:r>
      <w:r w:rsidRPr="001E1866">
        <w:rPr>
          <w:rFonts w:ascii="Arial" w:hAnsi="Arial" w:cs="Arial"/>
          <w:b w:val="0"/>
          <w:color w:val="000000"/>
        </w:rPr>
        <w:t xml:space="preserve"> cual incluye los contratos de correspondencia y gestión documental por 6 meses y transporte (caja menor).</w:t>
      </w:r>
    </w:p>
    <w:p w:rsidR="00236D89" w:rsidRPr="001E1866" w:rsidRDefault="00236D89" w:rsidP="00236D89">
      <w:pPr>
        <w:jc w:val="both"/>
        <w:rPr>
          <w:rFonts w:ascii="Arial" w:hAnsi="Arial" w:cs="Arial"/>
          <w:b w:val="0"/>
          <w:color w:val="000000"/>
        </w:rPr>
      </w:pPr>
    </w:p>
    <w:p w:rsidR="00236D89" w:rsidRDefault="00236D89" w:rsidP="00236D89">
      <w:pPr>
        <w:jc w:val="both"/>
        <w:rPr>
          <w:rFonts w:ascii="Arial" w:hAnsi="Arial" w:cs="Arial"/>
          <w:b w:val="0"/>
          <w:color w:val="000000"/>
        </w:rPr>
      </w:pPr>
      <w:r w:rsidRPr="001E1866">
        <w:rPr>
          <w:rFonts w:ascii="Arial" w:hAnsi="Arial" w:cs="Arial"/>
          <w:b w:val="0"/>
          <w:color w:val="000000"/>
        </w:rPr>
        <w:t>El rubro presupuestal Servicios prestados a las empresas y servicios de producción agrupa los honorarios de los profesionales como contador público, abogado, sistema de gestión de calidad y seguridad y salud en el trabajo, ingeniero ambiental, TICS, apoyo a tesorería, servicios públicos y por caja menor (mantenimiento, imprevistos e impresos y publicaciones). La contratación se realizó por 6 meses.</w:t>
      </w:r>
    </w:p>
    <w:p w:rsidR="00236D89" w:rsidRPr="00E11C5E" w:rsidRDefault="00236D89" w:rsidP="00236D89">
      <w:pPr>
        <w:jc w:val="both"/>
        <w:rPr>
          <w:rFonts w:ascii="Arial" w:hAnsi="Arial" w:cs="Arial"/>
          <w:b w:val="0"/>
          <w:color w:val="FF0000"/>
        </w:rPr>
      </w:pPr>
    </w:p>
    <w:p w:rsidR="00236D89" w:rsidRPr="00E11C5E" w:rsidRDefault="00236D89" w:rsidP="00236D89">
      <w:pPr>
        <w:jc w:val="both"/>
        <w:rPr>
          <w:rFonts w:ascii="Arial" w:hAnsi="Arial" w:cs="Arial"/>
          <w:b w:val="0"/>
        </w:rPr>
      </w:pPr>
      <w:r w:rsidRPr="00E11C5E">
        <w:rPr>
          <w:rFonts w:ascii="Arial" w:hAnsi="Arial" w:cs="Arial"/>
          <w:b w:val="0"/>
        </w:rPr>
        <w:t xml:space="preserve">En los rubros de viáticos y gastos de viajes, se </w:t>
      </w:r>
      <w:r w:rsidR="00E11C5E" w:rsidRPr="00E11C5E">
        <w:rPr>
          <w:rFonts w:ascii="Arial" w:hAnsi="Arial" w:cs="Arial"/>
          <w:b w:val="0"/>
        </w:rPr>
        <w:t>aumentaron por viaje del Director a Bogotá comisionado por el Señor Alcalde, pero el gasto no es representativo.</w:t>
      </w:r>
      <w:r w:rsidRPr="00E11C5E">
        <w:rPr>
          <w:rFonts w:ascii="Arial" w:hAnsi="Arial" w:cs="Arial"/>
          <w:b w:val="0"/>
        </w:rPr>
        <w:t xml:space="preserve"> </w:t>
      </w:r>
    </w:p>
    <w:p w:rsidR="00493BD0" w:rsidRPr="00712760" w:rsidRDefault="00493BD0" w:rsidP="00D57332">
      <w:pPr>
        <w:jc w:val="both"/>
        <w:rPr>
          <w:rFonts w:ascii="Arial" w:hAnsi="Arial" w:cs="Arial"/>
          <w:b w:val="0"/>
          <w:color w:val="000000"/>
        </w:rPr>
      </w:pPr>
      <w:r>
        <w:rPr>
          <w:rFonts w:ascii="Arial" w:hAnsi="Arial" w:cs="Arial"/>
          <w:b w:val="0"/>
          <w:color w:val="000000"/>
        </w:rPr>
        <w:t xml:space="preserve"> </w:t>
      </w:r>
    </w:p>
    <w:p w:rsidR="00D57332" w:rsidRPr="00712760" w:rsidRDefault="00D57332" w:rsidP="00D57332">
      <w:pPr>
        <w:jc w:val="both"/>
        <w:rPr>
          <w:rFonts w:ascii="Arial" w:hAnsi="Arial" w:cs="Arial"/>
          <w:b w:val="0"/>
          <w:color w:val="000000"/>
        </w:rPr>
      </w:pPr>
    </w:p>
    <w:p w:rsidR="00D57332" w:rsidRDefault="00D57332" w:rsidP="00D57332">
      <w:pPr>
        <w:jc w:val="both"/>
        <w:rPr>
          <w:rFonts w:ascii="Arial" w:hAnsi="Arial" w:cs="Arial"/>
          <w:color w:val="000000"/>
        </w:rPr>
      </w:pPr>
      <w:r w:rsidRPr="00712760">
        <w:rPr>
          <w:rFonts w:ascii="Arial" w:hAnsi="Arial" w:cs="Arial"/>
          <w:color w:val="000000"/>
        </w:rPr>
        <w:t>SERVICIOS PUBLICOS (Teléfonos fijos</w:t>
      </w:r>
      <w:r w:rsidR="00130EE9">
        <w:rPr>
          <w:rFonts w:ascii="Arial" w:hAnsi="Arial" w:cs="Arial"/>
          <w:color w:val="000000"/>
        </w:rPr>
        <w:t xml:space="preserve"> y movil</w:t>
      </w:r>
      <w:r w:rsidRPr="00712760">
        <w:rPr>
          <w:rFonts w:ascii="Arial" w:hAnsi="Arial" w:cs="Arial"/>
          <w:color w:val="000000"/>
        </w:rPr>
        <w:t>)</w:t>
      </w:r>
    </w:p>
    <w:p w:rsidR="00665B4E" w:rsidRPr="00712760" w:rsidRDefault="00665B4E" w:rsidP="00D57332">
      <w:pPr>
        <w:jc w:val="both"/>
        <w:rPr>
          <w:rFonts w:ascii="Arial" w:hAnsi="Arial" w:cs="Arial"/>
          <w:color w:val="000000"/>
        </w:rPr>
      </w:pPr>
    </w:p>
    <w:p w:rsidR="00D57332" w:rsidRPr="00712760" w:rsidRDefault="00D57332" w:rsidP="00D57332">
      <w:pPr>
        <w:jc w:val="both"/>
        <w:rPr>
          <w:rFonts w:ascii="Arial" w:hAnsi="Arial" w:cs="Arial"/>
          <w:b w:val="0"/>
          <w:color w:val="000000"/>
        </w:rPr>
      </w:pPr>
    </w:p>
    <w:tbl>
      <w:tblPr>
        <w:tblStyle w:val="Tablaconcuadrcula"/>
        <w:tblW w:w="0" w:type="auto"/>
        <w:tblInd w:w="571" w:type="dxa"/>
        <w:tblLook w:val="04A0" w:firstRow="1" w:lastRow="0" w:firstColumn="1" w:lastColumn="0" w:noHBand="0" w:noVBand="1"/>
      </w:tblPr>
      <w:tblGrid>
        <w:gridCol w:w="2401"/>
        <w:gridCol w:w="1843"/>
        <w:gridCol w:w="1984"/>
        <w:gridCol w:w="2977"/>
      </w:tblGrid>
      <w:tr w:rsidR="00D57332" w:rsidRPr="00712760" w:rsidTr="00E7702F">
        <w:tc>
          <w:tcPr>
            <w:tcW w:w="2401" w:type="dxa"/>
            <w:shd w:val="clear" w:color="auto" w:fill="92D050"/>
          </w:tcPr>
          <w:p w:rsidR="00D57332" w:rsidRPr="00712760" w:rsidRDefault="00D57332" w:rsidP="00666F5B">
            <w:pPr>
              <w:jc w:val="both"/>
              <w:rPr>
                <w:rFonts w:ascii="Arial" w:eastAsia="Times New Roman" w:hAnsi="Arial" w:cs="Arial"/>
                <w:b w:val="0"/>
                <w:color w:val="000000"/>
              </w:rPr>
            </w:pPr>
            <w:r w:rsidRPr="00712760">
              <w:rPr>
                <w:rFonts w:ascii="Arial" w:eastAsia="Times New Roman" w:hAnsi="Arial" w:cs="Arial"/>
                <w:b w:val="0"/>
                <w:color w:val="000000"/>
              </w:rPr>
              <w:t>CONCEPTO</w:t>
            </w:r>
          </w:p>
        </w:tc>
        <w:tc>
          <w:tcPr>
            <w:tcW w:w="1843" w:type="dxa"/>
            <w:shd w:val="clear" w:color="auto" w:fill="92D050"/>
          </w:tcPr>
          <w:p w:rsidR="00D57332" w:rsidRPr="00712760" w:rsidRDefault="00D57332" w:rsidP="002827BB">
            <w:pPr>
              <w:jc w:val="both"/>
              <w:rPr>
                <w:rFonts w:ascii="Arial" w:eastAsia="Times New Roman" w:hAnsi="Arial" w:cs="Arial"/>
                <w:b w:val="0"/>
                <w:color w:val="000000"/>
              </w:rPr>
            </w:pPr>
            <w:r w:rsidRPr="00712760">
              <w:rPr>
                <w:rFonts w:ascii="Arial" w:eastAsia="Times New Roman" w:hAnsi="Arial" w:cs="Arial"/>
                <w:b w:val="0"/>
                <w:color w:val="000000"/>
              </w:rPr>
              <w:t xml:space="preserve">EJECUTADO </w:t>
            </w:r>
            <w:r w:rsidR="004E352E">
              <w:rPr>
                <w:rFonts w:ascii="Arial" w:eastAsia="Times New Roman" w:hAnsi="Arial" w:cs="Arial"/>
                <w:b w:val="0"/>
                <w:color w:val="000000"/>
              </w:rPr>
              <w:t>2020</w:t>
            </w:r>
          </w:p>
        </w:tc>
        <w:tc>
          <w:tcPr>
            <w:tcW w:w="1984" w:type="dxa"/>
            <w:shd w:val="clear" w:color="auto" w:fill="92D050"/>
          </w:tcPr>
          <w:p w:rsidR="00D57332" w:rsidRPr="00712760" w:rsidRDefault="00D57332" w:rsidP="002827BB">
            <w:pPr>
              <w:jc w:val="both"/>
              <w:rPr>
                <w:rFonts w:ascii="Arial" w:eastAsia="Times New Roman" w:hAnsi="Arial" w:cs="Arial"/>
                <w:b w:val="0"/>
                <w:color w:val="000000"/>
              </w:rPr>
            </w:pPr>
            <w:r w:rsidRPr="00712760">
              <w:rPr>
                <w:rFonts w:ascii="Arial" w:eastAsia="Times New Roman" w:hAnsi="Arial" w:cs="Arial"/>
                <w:b w:val="0"/>
                <w:bCs/>
                <w:color w:val="000000"/>
              </w:rPr>
              <w:t xml:space="preserve">EJECUTADO </w:t>
            </w:r>
            <w:r w:rsidR="004E352E">
              <w:rPr>
                <w:rFonts w:ascii="Arial" w:eastAsia="Times New Roman" w:hAnsi="Arial" w:cs="Arial"/>
                <w:b w:val="0"/>
                <w:bCs/>
                <w:color w:val="000000"/>
              </w:rPr>
              <w:t>2021</w:t>
            </w:r>
          </w:p>
        </w:tc>
        <w:tc>
          <w:tcPr>
            <w:tcW w:w="2977" w:type="dxa"/>
            <w:shd w:val="clear" w:color="auto" w:fill="92D050"/>
          </w:tcPr>
          <w:p w:rsidR="00D57332" w:rsidRPr="00712760" w:rsidRDefault="00D57332" w:rsidP="00666F5B">
            <w:pPr>
              <w:jc w:val="both"/>
              <w:rPr>
                <w:rFonts w:ascii="Arial" w:eastAsia="Times New Roman" w:hAnsi="Arial" w:cs="Arial"/>
                <w:b w:val="0"/>
                <w:color w:val="000000"/>
              </w:rPr>
            </w:pPr>
            <w:r w:rsidRPr="00712760">
              <w:rPr>
                <w:rFonts w:ascii="Arial" w:eastAsia="Times New Roman" w:hAnsi="Arial" w:cs="Arial"/>
                <w:b w:val="0"/>
                <w:bCs/>
                <w:color w:val="000000"/>
              </w:rPr>
              <w:t xml:space="preserve">% DE VARIACIÓN </w:t>
            </w:r>
          </w:p>
        </w:tc>
      </w:tr>
      <w:tr w:rsidR="00D57332" w:rsidRPr="00712760" w:rsidTr="00E7702F">
        <w:tc>
          <w:tcPr>
            <w:tcW w:w="2401" w:type="dxa"/>
          </w:tcPr>
          <w:p w:rsidR="00D57332" w:rsidRPr="00712760" w:rsidRDefault="00D57332" w:rsidP="00666F5B">
            <w:pPr>
              <w:jc w:val="both"/>
              <w:rPr>
                <w:rFonts w:ascii="Arial" w:eastAsia="Times New Roman" w:hAnsi="Arial" w:cs="Arial"/>
                <w:b w:val="0"/>
                <w:color w:val="000000"/>
              </w:rPr>
            </w:pPr>
            <w:r w:rsidRPr="00712760">
              <w:rPr>
                <w:rFonts w:ascii="Arial" w:eastAsia="Times New Roman" w:hAnsi="Arial" w:cs="Arial"/>
                <w:b w:val="0"/>
                <w:color w:val="000000"/>
              </w:rPr>
              <w:t>SERVICIO DE TELEFONO FIJO</w:t>
            </w:r>
            <w:r w:rsidR="002827BB">
              <w:rPr>
                <w:rFonts w:ascii="Arial" w:eastAsia="Times New Roman" w:hAnsi="Arial" w:cs="Arial"/>
                <w:b w:val="0"/>
                <w:color w:val="000000"/>
              </w:rPr>
              <w:t xml:space="preserve"> Y MOVIL</w:t>
            </w:r>
          </w:p>
        </w:tc>
        <w:tc>
          <w:tcPr>
            <w:tcW w:w="1843" w:type="dxa"/>
          </w:tcPr>
          <w:p w:rsidR="00D57332" w:rsidRPr="00712760" w:rsidRDefault="00274EE1" w:rsidP="005C10CA">
            <w:pPr>
              <w:jc w:val="both"/>
              <w:rPr>
                <w:rFonts w:ascii="Arial" w:eastAsia="Times New Roman" w:hAnsi="Arial" w:cs="Arial"/>
                <w:b w:val="0"/>
                <w:color w:val="000000"/>
              </w:rPr>
            </w:pPr>
            <w:r>
              <w:rPr>
                <w:rFonts w:ascii="Arial" w:eastAsia="Times New Roman" w:hAnsi="Arial" w:cs="Arial"/>
                <w:b w:val="0"/>
                <w:color w:val="000000"/>
              </w:rPr>
              <w:t xml:space="preserve">$ </w:t>
            </w:r>
            <w:r w:rsidR="00DE1DDC">
              <w:rPr>
                <w:rFonts w:ascii="Arial" w:eastAsia="Times New Roman" w:hAnsi="Arial" w:cs="Arial"/>
                <w:b w:val="0"/>
                <w:color w:val="000000"/>
              </w:rPr>
              <w:t>4.672.540</w:t>
            </w:r>
          </w:p>
        </w:tc>
        <w:tc>
          <w:tcPr>
            <w:tcW w:w="1984" w:type="dxa"/>
          </w:tcPr>
          <w:p w:rsidR="00D57332" w:rsidRPr="00712760" w:rsidRDefault="00274EE1" w:rsidP="005C10CA">
            <w:pPr>
              <w:jc w:val="both"/>
              <w:rPr>
                <w:rFonts w:ascii="Arial" w:eastAsia="Times New Roman" w:hAnsi="Arial" w:cs="Arial"/>
                <w:b w:val="0"/>
                <w:color w:val="000000"/>
              </w:rPr>
            </w:pPr>
            <w:r>
              <w:rPr>
                <w:rFonts w:ascii="Arial" w:eastAsia="Times New Roman" w:hAnsi="Arial" w:cs="Arial"/>
                <w:b w:val="0"/>
                <w:color w:val="000000"/>
              </w:rPr>
              <w:t xml:space="preserve">$ </w:t>
            </w:r>
            <w:r w:rsidR="009E1F68">
              <w:rPr>
                <w:rFonts w:ascii="Arial" w:eastAsia="Times New Roman" w:hAnsi="Arial" w:cs="Arial"/>
                <w:b w:val="0"/>
                <w:color w:val="000000"/>
              </w:rPr>
              <w:t>3.905.515</w:t>
            </w:r>
          </w:p>
        </w:tc>
        <w:tc>
          <w:tcPr>
            <w:tcW w:w="2977" w:type="dxa"/>
          </w:tcPr>
          <w:p w:rsidR="00D57332" w:rsidRPr="00712760" w:rsidRDefault="00DE1DDC" w:rsidP="00274EE1">
            <w:pPr>
              <w:jc w:val="both"/>
              <w:rPr>
                <w:rFonts w:ascii="Arial" w:eastAsia="Times New Roman" w:hAnsi="Arial" w:cs="Arial"/>
                <w:b w:val="0"/>
                <w:color w:val="000000"/>
              </w:rPr>
            </w:pPr>
            <w:r>
              <w:rPr>
                <w:rFonts w:ascii="Arial" w:eastAsia="Times New Roman" w:hAnsi="Arial" w:cs="Arial"/>
                <w:b w:val="0"/>
              </w:rPr>
              <w:t>-16,42</w:t>
            </w:r>
            <w:r w:rsidR="00D57332" w:rsidRPr="009E46DA">
              <w:rPr>
                <w:rFonts w:ascii="Arial" w:eastAsia="Times New Roman" w:hAnsi="Arial" w:cs="Arial"/>
                <w:b w:val="0"/>
              </w:rPr>
              <w:t>%</w:t>
            </w:r>
          </w:p>
        </w:tc>
      </w:tr>
      <w:tr w:rsidR="009E1F68" w:rsidRPr="00712760" w:rsidTr="00E7702F">
        <w:tc>
          <w:tcPr>
            <w:tcW w:w="2401" w:type="dxa"/>
          </w:tcPr>
          <w:p w:rsidR="009E1F68" w:rsidRPr="00712760" w:rsidRDefault="009E1F68" w:rsidP="00666F5B">
            <w:pPr>
              <w:jc w:val="both"/>
              <w:rPr>
                <w:rFonts w:ascii="Arial" w:hAnsi="Arial" w:cs="Arial"/>
                <w:b w:val="0"/>
                <w:color w:val="000000"/>
              </w:rPr>
            </w:pPr>
            <w:r>
              <w:rPr>
                <w:rFonts w:ascii="Arial" w:hAnsi="Arial" w:cs="Arial"/>
                <w:b w:val="0"/>
                <w:color w:val="000000"/>
              </w:rPr>
              <w:t>INTERNET</w:t>
            </w:r>
          </w:p>
        </w:tc>
        <w:tc>
          <w:tcPr>
            <w:tcW w:w="1843" w:type="dxa"/>
          </w:tcPr>
          <w:p w:rsidR="009E1F68" w:rsidRDefault="009E1F68" w:rsidP="005C10CA">
            <w:pPr>
              <w:jc w:val="both"/>
              <w:rPr>
                <w:rFonts w:ascii="Arial" w:hAnsi="Arial" w:cs="Arial"/>
                <w:b w:val="0"/>
                <w:color w:val="000000"/>
              </w:rPr>
            </w:pPr>
            <w:r>
              <w:rPr>
                <w:rFonts w:ascii="Arial" w:hAnsi="Arial" w:cs="Arial"/>
                <w:b w:val="0"/>
                <w:color w:val="000000"/>
              </w:rPr>
              <w:t>$ 7.379.190</w:t>
            </w:r>
          </w:p>
        </w:tc>
        <w:tc>
          <w:tcPr>
            <w:tcW w:w="1984" w:type="dxa"/>
          </w:tcPr>
          <w:p w:rsidR="009E1F68" w:rsidRDefault="009E1F68" w:rsidP="005C10CA">
            <w:pPr>
              <w:jc w:val="both"/>
              <w:rPr>
                <w:rFonts w:ascii="Arial" w:hAnsi="Arial" w:cs="Arial"/>
                <w:b w:val="0"/>
                <w:color w:val="000000"/>
              </w:rPr>
            </w:pPr>
            <w:r>
              <w:rPr>
                <w:rFonts w:ascii="Arial" w:hAnsi="Arial" w:cs="Arial"/>
                <w:b w:val="0"/>
                <w:color w:val="000000"/>
              </w:rPr>
              <w:t>$ 5.821.425</w:t>
            </w:r>
          </w:p>
        </w:tc>
        <w:tc>
          <w:tcPr>
            <w:tcW w:w="2977" w:type="dxa"/>
          </w:tcPr>
          <w:p w:rsidR="009E1F68" w:rsidRDefault="009E1F68" w:rsidP="00274EE1">
            <w:pPr>
              <w:jc w:val="both"/>
              <w:rPr>
                <w:rFonts w:ascii="Arial" w:hAnsi="Arial" w:cs="Arial"/>
                <w:b w:val="0"/>
              </w:rPr>
            </w:pPr>
            <w:r>
              <w:rPr>
                <w:rFonts w:ascii="Arial" w:hAnsi="Arial" w:cs="Arial"/>
                <w:b w:val="0"/>
              </w:rPr>
              <w:t>-21,11%</w:t>
            </w:r>
          </w:p>
        </w:tc>
      </w:tr>
    </w:tbl>
    <w:p w:rsidR="005A1D61" w:rsidRDefault="00D57332" w:rsidP="00D57332">
      <w:pPr>
        <w:jc w:val="both"/>
        <w:rPr>
          <w:rFonts w:ascii="Arial" w:hAnsi="Arial" w:cs="Arial"/>
          <w:b w:val="0"/>
          <w:color w:val="000000"/>
        </w:rPr>
      </w:pPr>
      <w:r w:rsidRPr="00712760">
        <w:rPr>
          <w:rFonts w:ascii="Arial" w:hAnsi="Arial" w:cs="Arial"/>
          <w:b w:val="0"/>
          <w:color w:val="000000"/>
        </w:rPr>
        <w:t xml:space="preserve">El servicio </w:t>
      </w:r>
      <w:r w:rsidR="00BE4A78">
        <w:rPr>
          <w:rFonts w:ascii="Arial" w:hAnsi="Arial" w:cs="Arial"/>
          <w:b w:val="0"/>
          <w:color w:val="000000"/>
        </w:rPr>
        <w:t xml:space="preserve">de telefonía </w:t>
      </w:r>
      <w:r w:rsidR="009E1F68">
        <w:rPr>
          <w:rFonts w:ascii="Arial" w:hAnsi="Arial" w:cs="Arial"/>
          <w:b w:val="0"/>
          <w:color w:val="000000"/>
        </w:rPr>
        <w:t>disminuyo</w:t>
      </w:r>
      <w:r w:rsidR="00DE1DDC">
        <w:rPr>
          <w:rFonts w:ascii="Arial" w:hAnsi="Arial" w:cs="Arial"/>
          <w:b w:val="0"/>
          <w:color w:val="000000"/>
        </w:rPr>
        <w:t xml:space="preserve"> en un 16,412</w:t>
      </w:r>
      <w:r w:rsidR="005A1D61">
        <w:rPr>
          <w:rFonts w:ascii="Arial" w:hAnsi="Arial" w:cs="Arial"/>
          <w:b w:val="0"/>
          <w:color w:val="000000"/>
        </w:rPr>
        <w:t>%</w:t>
      </w:r>
      <w:r w:rsidRPr="00712760">
        <w:rPr>
          <w:rFonts w:ascii="Arial" w:hAnsi="Arial" w:cs="Arial"/>
          <w:b w:val="0"/>
          <w:color w:val="000000"/>
        </w:rPr>
        <w:t xml:space="preserve">. </w:t>
      </w:r>
    </w:p>
    <w:p w:rsidR="005A1D61" w:rsidRDefault="005A1D61" w:rsidP="00D57332">
      <w:pPr>
        <w:jc w:val="both"/>
        <w:rPr>
          <w:rFonts w:ascii="Arial" w:hAnsi="Arial" w:cs="Arial"/>
          <w:b w:val="0"/>
          <w:color w:val="000000"/>
        </w:rPr>
      </w:pPr>
    </w:p>
    <w:p w:rsidR="00712760" w:rsidRDefault="005A1D61" w:rsidP="00D57332">
      <w:pPr>
        <w:jc w:val="both"/>
        <w:rPr>
          <w:rFonts w:ascii="Arial" w:hAnsi="Arial" w:cs="Arial"/>
          <w:b w:val="0"/>
          <w:color w:val="000000"/>
        </w:rPr>
      </w:pPr>
      <w:r>
        <w:rPr>
          <w:rFonts w:ascii="Arial" w:hAnsi="Arial" w:cs="Arial"/>
          <w:b w:val="0"/>
          <w:color w:val="000000"/>
        </w:rPr>
        <w:t>El servicio de internet disminuyo en un</w:t>
      </w:r>
      <w:r w:rsidR="00D57332" w:rsidRPr="00712760">
        <w:rPr>
          <w:rFonts w:ascii="Arial" w:hAnsi="Arial" w:cs="Arial"/>
          <w:b w:val="0"/>
          <w:color w:val="000000"/>
        </w:rPr>
        <w:t xml:space="preserve"> </w:t>
      </w:r>
      <w:r>
        <w:rPr>
          <w:rFonts w:ascii="Arial" w:hAnsi="Arial" w:cs="Arial"/>
          <w:b w:val="0"/>
          <w:color w:val="000000"/>
        </w:rPr>
        <w:t>21,11%, esto debido a que las facturas de los meses de agosto y septiembre no han llegado al Instituto, por lo tanto, el gasto está en un promedio igual cada mes.</w:t>
      </w:r>
    </w:p>
    <w:p w:rsidR="00721C7F" w:rsidRDefault="00721C7F" w:rsidP="00D57332">
      <w:pPr>
        <w:jc w:val="both"/>
        <w:rPr>
          <w:rFonts w:ascii="Arial" w:hAnsi="Arial" w:cs="Arial"/>
          <w:b w:val="0"/>
          <w:color w:val="000000"/>
        </w:rPr>
      </w:pPr>
    </w:p>
    <w:p w:rsidR="005C10CA" w:rsidRPr="001F6EB4" w:rsidRDefault="00D57332" w:rsidP="00D57332">
      <w:pPr>
        <w:jc w:val="both"/>
        <w:rPr>
          <w:rFonts w:ascii="Arial" w:hAnsi="Arial" w:cs="Arial"/>
          <w:color w:val="000000"/>
        </w:rPr>
      </w:pPr>
      <w:r w:rsidRPr="00712760">
        <w:rPr>
          <w:rFonts w:ascii="Arial" w:hAnsi="Arial" w:cs="Arial"/>
          <w:color w:val="000000"/>
        </w:rPr>
        <w:t>CONCLUSIONES</w:t>
      </w:r>
    </w:p>
    <w:p w:rsidR="005A1D61" w:rsidRDefault="005A1D61" w:rsidP="005A1D61">
      <w:pPr>
        <w:jc w:val="both"/>
        <w:rPr>
          <w:rFonts w:ascii="Arial" w:hAnsi="Arial" w:cs="Arial"/>
          <w:b w:val="0"/>
          <w:color w:val="000000"/>
        </w:rPr>
      </w:pPr>
      <w:r>
        <w:rPr>
          <w:rFonts w:ascii="Arial" w:hAnsi="Arial" w:cs="Arial"/>
          <w:b w:val="0"/>
          <w:color w:val="000000"/>
        </w:rPr>
        <w:lastRenderedPageBreak/>
        <w:t xml:space="preserve">En el año 2021 se </w:t>
      </w:r>
      <w:bookmarkStart w:id="0" w:name="_GoBack"/>
      <w:bookmarkEnd w:id="0"/>
      <w:r>
        <w:rPr>
          <w:rFonts w:ascii="Arial" w:hAnsi="Arial" w:cs="Arial"/>
          <w:b w:val="0"/>
          <w:color w:val="000000"/>
        </w:rPr>
        <w:t>continua con la austeridad en la parte de funcionamiento, se evidencia una continuidad en el gasto de honorarios y servicios personales, en el cual se observa un aumento significante es en el rubro de indemnizar vacaciones puesto que han renunciado a la fecha cuatro funcionarios y uno falleció, por lo tanto, se tenían que cancelar las vacaciones pendientes.</w:t>
      </w:r>
    </w:p>
    <w:p w:rsidR="005A1D61" w:rsidRDefault="005A1D61" w:rsidP="005A1D61">
      <w:pPr>
        <w:jc w:val="both"/>
        <w:rPr>
          <w:rFonts w:ascii="Arial" w:hAnsi="Arial" w:cs="Arial"/>
          <w:b w:val="0"/>
          <w:color w:val="000000"/>
        </w:rPr>
      </w:pPr>
    </w:p>
    <w:p w:rsidR="005A1D61" w:rsidRPr="00712760" w:rsidRDefault="005A1D61" w:rsidP="005A1D61">
      <w:pPr>
        <w:jc w:val="both"/>
        <w:rPr>
          <w:rFonts w:ascii="Arial" w:hAnsi="Arial" w:cs="Arial"/>
          <w:b w:val="0"/>
          <w:color w:val="000000"/>
        </w:rPr>
      </w:pPr>
      <w:r>
        <w:rPr>
          <w:rFonts w:ascii="Arial" w:hAnsi="Arial" w:cs="Arial"/>
          <w:b w:val="0"/>
          <w:color w:val="000000"/>
        </w:rPr>
        <w:t>Se aclara que por los cambios ordenados en las cunetas por el ministerio de hacienda es muy difícil poder realizar los comparativos con los años anteriores sin embargo se evidencia una continui</w:t>
      </w:r>
      <w:r w:rsidR="00700AC4">
        <w:rPr>
          <w:rFonts w:ascii="Arial" w:hAnsi="Arial" w:cs="Arial"/>
          <w:b w:val="0"/>
          <w:color w:val="000000"/>
        </w:rPr>
        <w:t>dad en el gasto guardando las proporciones del presupuesto, en algunos rubros disminuye y en algunos aumenta, pero por el normal trabajo que se tiene que realizar con el presupuesto.</w:t>
      </w:r>
    </w:p>
    <w:p w:rsidR="001F6EB4" w:rsidRDefault="001F6EB4" w:rsidP="00D57332">
      <w:pPr>
        <w:jc w:val="both"/>
        <w:rPr>
          <w:rFonts w:ascii="Arial" w:hAnsi="Arial" w:cs="Arial"/>
          <w:b w:val="0"/>
          <w:color w:val="000000"/>
        </w:rPr>
      </w:pPr>
    </w:p>
    <w:p w:rsidR="00774185" w:rsidRDefault="001F6EB4" w:rsidP="00D57332">
      <w:pPr>
        <w:jc w:val="both"/>
        <w:rPr>
          <w:rFonts w:ascii="Arial" w:hAnsi="Arial" w:cs="Arial"/>
          <w:b w:val="0"/>
          <w:color w:val="000000"/>
        </w:rPr>
      </w:pPr>
      <w:r>
        <w:rPr>
          <w:rFonts w:ascii="Arial" w:hAnsi="Arial" w:cs="Arial"/>
          <w:b w:val="0"/>
          <w:color w:val="000000"/>
        </w:rPr>
        <w:t xml:space="preserve">En general el balance de la Institución es satisfactorio en el gasto pues se demuestra la austeridad en cada uno de los rubros. </w:t>
      </w:r>
      <w:r w:rsidR="00774185">
        <w:rPr>
          <w:rFonts w:ascii="Arial" w:hAnsi="Arial" w:cs="Arial"/>
          <w:b w:val="0"/>
          <w:color w:val="000000"/>
        </w:rPr>
        <w:t xml:space="preserve"> </w:t>
      </w:r>
    </w:p>
    <w:p w:rsidR="005D3A11" w:rsidRDefault="005D3A11" w:rsidP="00D57332">
      <w:pPr>
        <w:jc w:val="both"/>
        <w:rPr>
          <w:rFonts w:ascii="Arial" w:hAnsi="Arial" w:cs="Arial"/>
          <w:b w:val="0"/>
          <w:color w:val="000000"/>
        </w:rPr>
      </w:pPr>
    </w:p>
    <w:p w:rsidR="00D57332" w:rsidRPr="00712760" w:rsidRDefault="00D57332" w:rsidP="00D57332">
      <w:pPr>
        <w:jc w:val="both"/>
        <w:rPr>
          <w:rFonts w:ascii="Arial" w:hAnsi="Arial" w:cs="Arial"/>
          <w:color w:val="000000"/>
        </w:rPr>
      </w:pPr>
      <w:r w:rsidRPr="00712760">
        <w:rPr>
          <w:rFonts w:ascii="Arial" w:hAnsi="Arial" w:cs="Arial"/>
          <w:color w:val="000000"/>
        </w:rPr>
        <w:t>RECOMENDACIONES</w:t>
      </w:r>
    </w:p>
    <w:p w:rsidR="00D57332" w:rsidRPr="00712760" w:rsidRDefault="00D57332" w:rsidP="00D57332">
      <w:pPr>
        <w:jc w:val="both"/>
        <w:rPr>
          <w:rFonts w:ascii="Arial" w:hAnsi="Arial" w:cs="Arial"/>
          <w:b w:val="0"/>
          <w:color w:val="000000"/>
        </w:rPr>
      </w:pPr>
    </w:p>
    <w:p w:rsidR="00D57332" w:rsidRPr="00712760" w:rsidRDefault="00D57332" w:rsidP="00D57332">
      <w:pPr>
        <w:jc w:val="both"/>
        <w:rPr>
          <w:rFonts w:ascii="Arial" w:hAnsi="Arial" w:cs="Arial"/>
          <w:b w:val="0"/>
          <w:color w:val="000000"/>
        </w:rPr>
      </w:pPr>
      <w:r w:rsidRPr="00712760">
        <w:rPr>
          <w:rFonts w:ascii="Arial" w:hAnsi="Arial" w:cs="Arial"/>
          <w:b w:val="0"/>
          <w:color w:val="000000"/>
        </w:rPr>
        <w:t xml:space="preserve">Dar </w:t>
      </w:r>
      <w:r w:rsidR="00665B4E">
        <w:rPr>
          <w:rFonts w:ascii="Arial" w:hAnsi="Arial" w:cs="Arial"/>
          <w:b w:val="0"/>
          <w:color w:val="000000"/>
        </w:rPr>
        <w:t>continuidad</w:t>
      </w:r>
      <w:r w:rsidRPr="00712760">
        <w:rPr>
          <w:rFonts w:ascii="Arial" w:hAnsi="Arial" w:cs="Arial"/>
          <w:b w:val="0"/>
          <w:color w:val="000000"/>
        </w:rPr>
        <w:t xml:space="preserve"> a la política del</w:t>
      </w:r>
      <w:r w:rsidR="00712760">
        <w:rPr>
          <w:rFonts w:ascii="Arial" w:hAnsi="Arial" w:cs="Arial"/>
          <w:b w:val="0"/>
          <w:color w:val="000000"/>
        </w:rPr>
        <w:t xml:space="preserve"> CERO PAPEL</w:t>
      </w:r>
      <w:r w:rsidR="007B607A">
        <w:rPr>
          <w:rFonts w:ascii="Arial" w:hAnsi="Arial" w:cs="Arial"/>
          <w:b w:val="0"/>
          <w:color w:val="000000"/>
        </w:rPr>
        <w:t xml:space="preserve"> para poder ahorrar tanto papel como tóner que es lo que más incrementa el gasto de papelería y útiles de escritorio</w:t>
      </w:r>
      <w:r w:rsidRPr="00712760">
        <w:rPr>
          <w:rFonts w:ascii="Arial" w:hAnsi="Arial" w:cs="Arial"/>
          <w:b w:val="0"/>
          <w:color w:val="000000"/>
        </w:rPr>
        <w:t xml:space="preserve">.  </w:t>
      </w:r>
    </w:p>
    <w:p w:rsidR="00665B4E" w:rsidRDefault="00665B4E" w:rsidP="00D57332">
      <w:pPr>
        <w:jc w:val="both"/>
        <w:rPr>
          <w:rFonts w:ascii="Arial" w:hAnsi="Arial" w:cs="Arial"/>
          <w:b w:val="0"/>
          <w:color w:val="000000"/>
        </w:rPr>
      </w:pPr>
    </w:p>
    <w:p w:rsidR="00061E32" w:rsidRDefault="00D57332" w:rsidP="00D57332">
      <w:pPr>
        <w:jc w:val="both"/>
        <w:rPr>
          <w:rFonts w:ascii="Arial" w:hAnsi="Arial" w:cs="Arial"/>
          <w:b w:val="0"/>
          <w:color w:val="000000"/>
        </w:rPr>
      </w:pPr>
      <w:r w:rsidRPr="00712760">
        <w:rPr>
          <w:rFonts w:ascii="Arial" w:hAnsi="Arial" w:cs="Arial"/>
          <w:b w:val="0"/>
          <w:color w:val="000000"/>
        </w:rPr>
        <w:t>Continuar con la política de austeridad y eficiencia en gasto público</w:t>
      </w:r>
      <w:r w:rsidR="00061E32">
        <w:rPr>
          <w:rFonts w:ascii="Arial" w:hAnsi="Arial" w:cs="Arial"/>
          <w:b w:val="0"/>
          <w:color w:val="000000"/>
        </w:rPr>
        <w:t xml:space="preserve"> si es posible continuando con la austeridad con respecto a viáticos y gastos de viaje</w:t>
      </w:r>
      <w:r w:rsidR="001F6EB4">
        <w:rPr>
          <w:rFonts w:ascii="Arial" w:hAnsi="Arial" w:cs="Arial"/>
          <w:b w:val="0"/>
          <w:color w:val="000000"/>
        </w:rPr>
        <w:t xml:space="preserve"> e indemnización de vacaciones</w:t>
      </w:r>
      <w:r w:rsidR="00061E32">
        <w:rPr>
          <w:rFonts w:ascii="Arial" w:hAnsi="Arial" w:cs="Arial"/>
          <w:b w:val="0"/>
          <w:color w:val="000000"/>
        </w:rPr>
        <w:t>.</w:t>
      </w:r>
    </w:p>
    <w:p w:rsidR="00061E32" w:rsidRDefault="00061E32" w:rsidP="00D57332">
      <w:pPr>
        <w:jc w:val="both"/>
        <w:rPr>
          <w:rFonts w:ascii="Arial" w:hAnsi="Arial" w:cs="Arial"/>
          <w:b w:val="0"/>
          <w:color w:val="000000"/>
        </w:rPr>
      </w:pPr>
    </w:p>
    <w:p w:rsidR="00061E32" w:rsidRDefault="00061E32" w:rsidP="00D57332">
      <w:pPr>
        <w:jc w:val="both"/>
        <w:rPr>
          <w:rFonts w:ascii="Arial" w:hAnsi="Arial" w:cs="Arial"/>
          <w:b w:val="0"/>
          <w:color w:val="000000"/>
        </w:rPr>
      </w:pPr>
      <w:r>
        <w:rPr>
          <w:rFonts w:ascii="Arial" w:hAnsi="Arial" w:cs="Arial"/>
          <w:b w:val="0"/>
          <w:color w:val="000000"/>
        </w:rPr>
        <w:t>Propender por que los establecimientos deportivos sean utilizados el alumbrado solo en los momentos necesarios y no dejar las luminarias prendidas cuando no hay actividad en el mismo.</w:t>
      </w: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r>
        <w:rPr>
          <w:rFonts w:ascii="Arial" w:hAnsi="Arial" w:cs="Arial"/>
          <w:b w:val="0"/>
          <w:color w:val="000000"/>
        </w:rPr>
        <w:t>Se manifiesta que</w:t>
      </w:r>
      <w:r w:rsidRPr="007B607A">
        <w:rPr>
          <w:rFonts w:ascii="Arial" w:hAnsi="Arial" w:cs="Arial"/>
          <w:b w:val="0"/>
          <w:color w:val="000000"/>
        </w:rPr>
        <w:t xml:space="preserve"> </w:t>
      </w:r>
      <w:r w:rsidRPr="00712760">
        <w:rPr>
          <w:rFonts w:ascii="Arial" w:hAnsi="Arial" w:cs="Arial"/>
          <w:b w:val="0"/>
          <w:color w:val="000000"/>
        </w:rPr>
        <w:t xml:space="preserve">la fecha no se </w:t>
      </w:r>
      <w:r w:rsidR="00184708" w:rsidRPr="00712760">
        <w:rPr>
          <w:rFonts w:ascii="Arial" w:hAnsi="Arial" w:cs="Arial"/>
          <w:b w:val="0"/>
          <w:color w:val="000000"/>
        </w:rPr>
        <w:t>ha adelantado</w:t>
      </w:r>
      <w:r w:rsidRPr="00712760">
        <w:rPr>
          <w:rFonts w:ascii="Arial" w:hAnsi="Arial" w:cs="Arial"/>
          <w:b w:val="0"/>
          <w:color w:val="000000"/>
        </w:rPr>
        <w:t xml:space="preserve"> procesos administrativos sancionatorios por inobservancias a las normas de austeridad</w:t>
      </w:r>
      <w:r>
        <w:rPr>
          <w:rFonts w:ascii="Arial" w:hAnsi="Arial" w:cs="Arial"/>
          <w:b w:val="0"/>
          <w:color w:val="000000"/>
        </w:rPr>
        <w:t>, ya que los funcionarios acogen las directrices de la</w:t>
      </w:r>
      <w:r w:rsidRPr="007B607A">
        <w:rPr>
          <w:rFonts w:ascii="Arial" w:hAnsi="Arial" w:cs="Arial"/>
          <w:b w:val="0"/>
          <w:color w:val="000000"/>
        </w:rPr>
        <w:t xml:space="preserve"> </w:t>
      </w:r>
      <w:r>
        <w:rPr>
          <w:rFonts w:ascii="Arial" w:hAnsi="Arial" w:cs="Arial"/>
          <w:b w:val="0"/>
          <w:color w:val="000000"/>
        </w:rPr>
        <w:t>Dirección General y</w:t>
      </w:r>
      <w:r w:rsidRPr="00712760">
        <w:rPr>
          <w:rFonts w:ascii="Arial" w:hAnsi="Arial" w:cs="Arial"/>
          <w:b w:val="0"/>
          <w:color w:val="000000"/>
        </w:rPr>
        <w:t xml:space="preserve"> la Oficina de Control Interno</w:t>
      </w:r>
      <w:r>
        <w:rPr>
          <w:rFonts w:ascii="Arial" w:hAnsi="Arial" w:cs="Arial"/>
          <w:b w:val="0"/>
          <w:color w:val="000000"/>
        </w:rPr>
        <w:t xml:space="preserve"> en lo relacionado al uso de teléfono, tintas, papel y demás.</w:t>
      </w: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p>
    <w:p w:rsidR="007B607A" w:rsidRDefault="007B607A" w:rsidP="00D57332">
      <w:pPr>
        <w:jc w:val="both"/>
        <w:rPr>
          <w:rFonts w:ascii="Arial" w:hAnsi="Arial" w:cs="Arial"/>
          <w:b w:val="0"/>
          <w:color w:val="000000"/>
        </w:rPr>
      </w:pPr>
      <w:r>
        <w:rPr>
          <w:rFonts w:ascii="Arial" w:hAnsi="Arial" w:cs="Arial"/>
          <w:b w:val="0"/>
          <w:color w:val="000000"/>
        </w:rPr>
        <w:t>EDWIN ALBERTO AVILA RAMOS</w:t>
      </w:r>
    </w:p>
    <w:p w:rsidR="007B607A" w:rsidRDefault="007B607A" w:rsidP="00D57332">
      <w:pPr>
        <w:jc w:val="both"/>
        <w:rPr>
          <w:rFonts w:ascii="Arial" w:hAnsi="Arial" w:cs="Arial"/>
          <w:b w:val="0"/>
          <w:color w:val="000000"/>
        </w:rPr>
      </w:pPr>
      <w:r>
        <w:rPr>
          <w:rFonts w:ascii="Arial" w:hAnsi="Arial" w:cs="Arial"/>
          <w:b w:val="0"/>
          <w:color w:val="000000"/>
        </w:rPr>
        <w:t xml:space="preserve">Jefe Control Interno </w:t>
      </w:r>
    </w:p>
    <w:p w:rsidR="00061E32" w:rsidRDefault="00061E32" w:rsidP="00D57332">
      <w:pPr>
        <w:jc w:val="both"/>
        <w:rPr>
          <w:rFonts w:ascii="Arial" w:hAnsi="Arial" w:cs="Arial"/>
          <w:b w:val="0"/>
          <w:color w:val="000000"/>
        </w:rPr>
      </w:pPr>
    </w:p>
    <w:p w:rsidR="00D57332" w:rsidRDefault="00D57332" w:rsidP="00D57332">
      <w:pPr>
        <w:jc w:val="both"/>
        <w:rPr>
          <w:rFonts w:ascii="Arial" w:hAnsi="Arial" w:cs="Arial"/>
          <w:b w:val="0"/>
          <w:color w:val="000000"/>
        </w:rPr>
      </w:pPr>
      <w:r w:rsidRPr="00712760">
        <w:rPr>
          <w:rFonts w:ascii="Arial" w:hAnsi="Arial" w:cs="Arial"/>
          <w:b w:val="0"/>
          <w:color w:val="000000"/>
        </w:rPr>
        <w:t xml:space="preserve">   </w:t>
      </w:r>
    </w:p>
    <w:sectPr w:rsidR="00D57332" w:rsidSect="00D046B0">
      <w:headerReference w:type="default" r:id="rId8"/>
      <w:footerReference w:type="default" r:id="rId9"/>
      <w:pgSz w:w="12240" w:h="15840" w:code="1"/>
      <w:pgMar w:top="1418" w:right="104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4D" w:rsidRDefault="0001684D">
      <w:r>
        <w:separator/>
      </w:r>
    </w:p>
  </w:endnote>
  <w:endnote w:type="continuationSeparator" w:id="0">
    <w:p w:rsidR="0001684D" w:rsidRDefault="0001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29" w:rsidRDefault="00FD2429" w:rsidP="005A5E70">
    <w:pPr>
      <w:pStyle w:val="Piedepgina"/>
      <w:contextualSpacing/>
      <w:jc w:val="both"/>
      <w:rPr>
        <w:rFonts w:ascii="Calibri" w:hAnsi="Calibri" w:cs="Calibri"/>
        <w:color w:val="4F8E3A"/>
        <w:sz w:val="18"/>
        <w:szCs w:val="18"/>
      </w:rPr>
    </w:pPr>
    <w:r>
      <w:rPr>
        <w:noProof/>
      </w:rPr>
      <w:drawing>
        <wp:anchor distT="0" distB="0" distL="114300" distR="114300" simplePos="0" relativeHeight="251661312" behindDoc="0" locked="0" layoutInCell="1" allowOverlap="1" wp14:anchorId="50174A1B" wp14:editId="2882D5E3">
          <wp:simplePos x="0" y="0"/>
          <wp:positionH relativeFrom="column">
            <wp:posOffset>3949065</wp:posOffset>
          </wp:positionH>
          <wp:positionV relativeFrom="paragraph">
            <wp:posOffset>1270</wp:posOffset>
          </wp:positionV>
          <wp:extent cx="2909570" cy="66675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385" b="23539"/>
                  <a:stretch/>
                </pic:blipFill>
                <pic:spPr bwMode="auto">
                  <a:xfrm>
                    <a:off x="0" y="0"/>
                    <a:ext cx="290957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678D">
      <w:rPr>
        <w:rFonts w:ascii="Calibri" w:hAnsi="Calibri" w:cs="Calibri"/>
        <w:color w:val="336600"/>
        <w:sz w:val="18"/>
        <w:szCs w:val="18"/>
      </w:rPr>
      <w:t xml:space="preserve">Calle 7 # 30-140 Unidad Deportiva Alfonso </w:t>
    </w:r>
    <w:proofErr w:type="spellStart"/>
    <w:r w:rsidRPr="007E678D">
      <w:rPr>
        <w:rFonts w:ascii="Calibri" w:hAnsi="Calibri" w:cs="Calibri"/>
        <w:color w:val="336600"/>
        <w:sz w:val="18"/>
        <w:szCs w:val="18"/>
      </w:rPr>
      <w:t>Lopez</w:t>
    </w:r>
    <w:proofErr w:type="spellEnd"/>
    <w:r w:rsidRPr="007E678D">
      <w:rPr>
        <w:rFonts w:ascii="Calibri" w:hAnsi="Calibri" w:cs="Calibri"/>
        <w:color w:val="336600"/>
        <w:sz w:val="18"/>
        <w:szCs w:val="18"/>
      </w:rPr>
      <w:t xml:space="preserve"> – Coliseo Bicentenario</w:t>
    </w:r>
  </w:p>
  <w:p w:rsidR="00FD2429" w:rsidRDefault="00FD2429" w:rsidP="005A5E70">
    <w:pPr>
      <w:pStyle w:val="Piedepgina"/>
      <w:contextualSpacing/>
      <w:jc w:val="both"/>
      <w:rPr>
        <w:rFonts w:ascii="Calibri" w:hAnsi="Calibri" w:cs="Calibri"/>
        <w:color w:val="4F8E3A"/>
        <w:sz w:val="18"/>
        <w:szCs w:val="18"/>
        <w:lang w:val="es-ES"/>
      </w:rPr>
    </w:pPr>
    <w:r w:rsidRPr="007E678D">
      <w:rPr>
        <w:rFonts w:ascii="Calibri" w:hAnsi="Calibri" w:cs="Calibri"/>
        <w:color w:val="336600"/>
        <w:sz w:val="18"/>
        <w:szCs w:val="18"/>
      </w:rPr>
      <w:t xml:space="preserve">Bucaramanga, Santander, Colombia </w:t>
    </w:r>
    <w:r w:rsidRPr="007E678D">
      <w:rPr>
        <w:rFonts w:ascii="Calibri" w:hAnsi="Calibri" w:cs="Calibri"/>
        <w:color w:val="336600"/>
        <w:sz w:val="18"/>
        <w:szCs w:val="18"/>
      </w:rPr>
      <w:sym w:font="Webdings" w:char="F07C"/>
    </w:r>
    <w:r w:rsidRPr="007E678D">
      <w:rPr>
        <w:rFonts w:ascii="Calibri" w:hAnsi="Calibri" w:cs="Calibri"/>
        <w:color w:val="336600"/>
        <w:sz w:val="18"/>
        <w:szCs w:val="18"/>
      </w:rPr>
      <w:t xml:space="preserve"> </w:t>
    </w:r>
    <w:r w:rsidRPr="007E678D">
      <w:rPr>
        <w:rFonts w:ascii="Calibri" w:hAnsi="Calibri" w:cs="Calibri"/>
        <w:color w:val="336600"/>
        <w:sz w:val="18"/>
        <w:szCs w:val="18"/>
        <w:lang w:val="es-ES"/>
      </w:rPr>
      <w:t>Nit.: 804.002.166-</w:t>
    </w:r>
    <w:r w:rsidRPr="006D2BAC">
      <w:rPr>
        <w:rFonts w:ascii="Calibri" w:hAnsi="Calibri" w:cs="Calibri"/>
        <w:color w:val="4F8E3A"/>
        <w:sz w:val="18"/>
        <w:szCs w:val="18"/>
        <w:lang w:val="es-ES"/>
      </w:rPr>
      <w:t>1</w:t>
    </w:r>
  </w:p>
  <w:p w:rsidR="00FD2429" w:rsidRDefault="00FD2429" w:rsidP="00C609BF">
    <w:pPr>
      <w:pStyle w:val="Piedepgina"/>
      <w:contextualSpacing/>
      <w:jc w:val="both"/>
      <w:rPr>
        <w:noProof/>
        <w:lang w:val="es-ES" w:eastAsia="es-ES"/>
      </w:rPr>
    </w:pPr>
    <w:r w:rsidRPr="003E46AD">
      <w:rPr>
        <w:rFonts w:asciiTheme="minorHAnsi" w:hAnsiTheme="minorHAnsi" w:cstheme="minorHAnsi"/>
        <w:color w:val="336600"/>
        <w:sz w:val="18"/>
        <w:szCs w:val="18"/>
        <w:lang w:val="es-ES"/>
      </w:rPr>
      <w:t xml:space="preserve">Teléfonos: </w:t>
    </w:r>
    <w:r>
      <w:rPr>
        <w:rFonts w:asciiTheme="minorHAnsi" w:hAnsiTheme="minorHAnsi" w:cstheme="minorHAnsi"/>
        <w:color w:val="336600"/>
        <w:sz w:val="18"/>
        <w:szCs w:val="18"/>
        <w:lang w:val="es-ES"/>
      </w:rPr>
      <w:t xml:space="preserve">6347353, </w:t>
    </w:r>
    <w:r w:rsidRPr="003E46AD">
      <w:rPr>
        <w:rFonts w:asciiTheme="minorHAnsi" w:hAnsiTheme="minorHAnsi" w:cstheme="minorHAnsi"/>
        <w:color w:val="336600"/>
        <w:sz w:val="18"/>
        <w:szCs w:val="18"/>
        <w:lang w:val="es-ES"/>
      </w:rPr>
      <w:t>6450333, 6454583, 6323935, 6329984</w:t>
    </w:r>
  </w:p>
  <w:p w:rsidR="00FD2429" w:rsidRPr="006D2BAC" w:rsidRDefault="00FD2429" w:rsidP="005A5E70">
    <w:pPr>
      <w:pStyle w:val="Piedepgina"/>
      <w:contextualSpacing/>
      <w:jc w:val="both"/>
      <w:rPr>
        <w:rFonts w:ascii="Calibri" w:hAnsi="Calibri" w:cs="Calibri"/>
        <w:color w:val="4F8E3A"/>
        <w:sz w:val="18"/>
        <w:szCs w:val="18"/>
      </w:rPr>
    </w:pPr>
  </w:p>
  <w:p w:rsidR="00FD2429" w:rsidRPr="006D2BAC" w:rsidRDefault="00FD2429" w:rsidP="005A5E70">
    <w:pPr>
      <w:pStyle w:val="Piedepgina"/>
      <w:contextualSpacing/>
      <w:jc w:val="both"/>
      <w:rPr>
        <w:rFonts w:ascii="Calibri" w:hAnsi="Calibri" w:cs="Calibri"/>
        <w:color w:val="4F8E3A"/>
        <w:sz w:val="18"/>
        <w:szCs w:val="18"/>
      </w:rPr>
    </w:pPr>
    <w:r w:rsidRPr="007E678D">
      <w:rPr>
        <w:rFonts w:ascii="Calibri" w:hAnsi="Calibri" w:cs="Calibri"/>
        <w:color w:val="336600"/>
        <w:sz w:val="18"/>
        <w:szCs w:val="18"/>
      </w:rPr>
      <w:t>www.inderbu.gov.co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4D" w:rsidRDefault="0001684D">
      <w:r>
        <w:separator/>
      </w:r>
    </w:p>
  </w:footnote>
  <w:footnote w:type="continuationSeparator" w:id="0">
    <w:p w:rsidR="0001684D" w:rsidRDefault="0001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29" w:rsidRDefault="00FD2429" w:rsidP="005A5E70">
    <w:pPr>
      <w:pStyle w:val="Encabezado"/>
      <w:rPr>
        <w:sz w:val="44"/>
        <w:szCs w:val="44"/>
      </w:rPr>
    </w:pPr>
    <w:r>
      <w:tab/>
    </w:r>
    <w:r>
      <w:rPr>
        <w:noProof/>
      </w:rPr>
      <w:drawing>
        <wp:anchor distT="0" distB="0" distL="114300" distR="114300" simplePos="0" relativeHeight="251659264" behindDoc="0" locked="0" layoutInCell="1" allowOverlap="1" wp14:anchorId="342FBDD0" wp14:editId="2691B1A0">
          <wp:simplePos x="0" y="0"/>
          <wp:positionH relativeFrom="column">
            <wp:posOffset>3623310</wp:posOffset>
          </wp:positionH>
          <wp:positionV relativeFrom="paragraph">
            <wp:posOffset>5080</wp:posOffset>
          </wp:positionV>
          <wp:extent cx="3015615" cy="1013460"/>
          <wp:effectExtent l="0" t="0" r="0" b="0"/>
          <wp:wrapNone/>
          <wp:docPr id="57" name="Imagen 57" descr="LOGO AJUSTADO INDER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AJUSTADO INDERB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61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29" w:rsidRDefault="00FD2429" w:rsidP="005A5E70">
    <w:pPr>
      <w:pStyle w:val="Encabezado"/>
      <w:rPr>
        <w:sz w:val="44"/>
        <w:szCs w:val="44"/>
      </w:rPr>
    </w:pPr>
    <w:r>
      <w:rPr>
        <w:sz w:val="44"/>
        <w:szCs w:val="44"/>
      </w:rPr>
      <w:tab/>
      <w:t xml:space="preserve"> </w:t>
    </w:r>
  </w:p>
  <w:p w:rsidR="00FD2429" w:rsidRDefault="00FD2429" w:rsidP="005A5E70">
    <w:pPr>
      <w:pStyle w:val="Encabezado"/>
      <w:tabs>
        <w:tab w:val="clear" w:pos="4419"/>
        <w:tab w:val="clear" w:pos="8838"/>
        <w:tab w:val="left" w:pos="6120"/>
      </w:tabs>
    </w:pPr>
  </w:p>
  <w:p w:rsidR="00FD2429" w:rsidRPr="005A5E70" w:rsidRDefault="00FD2429" w:rsidP="005A5E70">
    <w:pPr>
      <w:pStyle w:val="Encabezado"/>
      <w:tabs>
        <w:tab w:val="clear" w:pos="4419"/>
        <w:tab w:val="clear" w:pos="8838"/>
        <w:tab w:val="left" w:pos="6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31D7"/>
    <w:multiLevelType w:val="hybridMultilevel"/>
    <w:tmpl w:val="84CCF8DC"/>
    <w:lvl w:ilvl="0" w:tplc="9CB8C16A">
      <w:start w:val="1"/>
      <w:numFmt w:val="bullet"/>
      <w:lvlText w:val=""/>
      <w:lvlJc w:val="left"/>
      <w:pPr>
        <w:tabs>
          <w:tab w:val="num" w:pos="35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C6896"/>
    <w:multiLevelType w:val="hybridMultilevel"/>
    <w:tmpl w:val="3A6A51BA"/>
    <w:lvl w:ilvl="0" w:tplc="9CB8C16A">
      <w:start w:val="1"/>
      <w:numFmt w:val="bullet"/>
      <w:lvlText w:val=""/>
      <w:lvlJc w:val="left"/>
      <w:pPr>
        <w:tabs>
          <w:tab w:val="num" w:pos="35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C75233"/>
    <w:multiLevelType w:val="hybridMultilevel"/>
    <w:tmpl w:val="5CE40BE8"/>
    <w:lvl w:ilvl="0" w:tplc="9CB8C16A">
      <w:start w:val="1"/>
      <w:numFmt w:val="bullet"/>
      <w:lvlText w:val=""/>
      <w:lvlJc w:val="left"/>
      <w:pPr>
        <w:tabs>
          <w:tab w:val="num" w:pos="35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12979"/>
    <w:multiLevelType w:val="hybridMultilevel"/>
    <w:tmpl w:val="646626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3BA3EA6"/>
    <w:multiLevelType w:val="hybridMultilevel"/>
    <w:tmpl w:val="584CE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463CDD"/>
    <w:multiLevelType w:val="hybridMultilevel"/>
    <w:tmpl w:val="47E47A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2DA6CB3"/>
    <w:multiLevelType w:val="hybridMultilevel"/>
    <w:tmpl w:val="CE0ACE4E"/>
    <w:lvl w:ilvl="0" w:tplc="446A163C">
      <w:start w:val="1"/>
      <w:numFmt w:val="bullet"/>
      <w:lvlText w:val=""/>
      <w:lvlJc w:val="left"/>
      <w:pPr>
        <w:tabs>
          <w:tab w:val="num" w:pos="510"/>
        </w:tabs>
        <w:ind w:left="454" w:hanging="454"/>
      </w:pPr>
      <w:rPr>
        <w:rFonts w:ascii="Wingdings" w:hAnsi="Wingdings" w:hint="default"/>
        <w:sz w:val="28"/>
        <w:szCs w:val="28"/>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B2"/>
    <w:rsid w:val="0000605C"/>
    <w:rsid w:val="00007F1A"/>
    <w:rsid w:val="0001684D"/>
    <w:rsid w:val="00031191"/>
    <w:rsid w:val="00044120"/>
    <w:rsid w:val="00045802"/>
    <w:rsid w:val="00045BE8"/>
    <w:rsid w:val="00050DE5"/>
    <w:rsid w:val="00051C1C"/>
    <w:rsid w:val="00052419"/>
    <w:rsid w:val="00055030"/>
    <w:rsid w:val="00061E32"/>
    <w:rsid w:val="00065208"/>
    <w:rsid w:val="00065395"/>
    <w:rsid w:val="00067778"/>
    <w:rsid w:val="00067922"/>
    <w:rsid w:val="00071819"/>
    <w:rsid w:val="000748EF"/>
    <w:rsid w:val="00074F35"/>
    <w:rsid w:val="00077D28"/>
    <w:rsid w:val="00084A02"/>
    <w:rsid w:val="000865AE"/>
    <w:rsid w:val="000922E3"/>
    <w:rsid w:val="00093368"/>
    <w:rsid w:val="000975A3"/>
    <w:rsid w:val="000A1F2C"/>
    <w:rsid w:val="000A2538"/>
    <w:rsid w:val="000A271F"/>
    <w:rsid w:val="000B2610"/>
    <w:rsid w:val="000C57EB"/>
    <w:rsid w:val="000D01F3"/>
    <w:rsid w:val="000D0596"/>
    <w:rsid w:val="000D1A3D"/>
    <w:rsid w:val="000D2E48"/>
    <w:rsid w:val="000D741F"/>
    <w:rsid w:val="000E483D"/>
    <w:rsid w:val="000E6942"/>
    <w:rsid w:val="000F3C64"/>
    <w:rsid w:val="000F74E4"/>
    <w:rsid w:val="001007FC"/>
    <w:rsid w:val="00103614"/>
    <w:rsid w:val="00104414"/>
    <w:rsid w:val="001061FE"/>
    <w:rsid w:val="001146E5"/>
    <w:rsid w:val="00114E71"/>
    <w:rsid w:val="0011779F"/>
    <w:rsid w:val="001229FE"/>
    <w:rsid w:val="00126C71"/>
    <w:rsid w:val="00126D84"/>
    <w:rsid w:val="00127F9E"/>
    <w:rsid w:val="00130EE9"/>
    <w:rsid w:val="001311EC"/>
    <w:rsid w:val="0013288E"/>
    <w:rsid w:val="00134984"/>
    <w:rsid w:val="00135492"/>
    <w:rsid w:val="001536C9"/>
    <w:rsid w:val="00157FE2"/>
    <w:rsid w:val="00165EA9"/>
    <w:rsid w:val="00166684"/>
    <w:rsid w:val="001677EF"/>
    <w:rsid w:val="001703E7"/>
    <w:rsid w:val="00172890"/>
    <w:rsid w:val="00173703"/>
    <w:rsid w:val="00173782"/>
    <w:rsid w:val="00182338"/>
    <w:rsid w:val="001837BF"/>
    <w:rsid w:val="00184708"/>
    <w:rsid w:val="001864C1"/>
    <w:rsid w:val="0019534B"/>
    <w:rsid w:val="001A025D"/>
    <w:rsid w:val="001A1FC8"/>
    <w:rsid w:val="001A6361"/>
    <w:rsid w:val="001B0B22"/>
    <w:rsid w:val="001B58AB"/>
    <w:rsid w:val="001B6C27"/>
    <w:rsid w:val="001C13B4"/>
    <w:rsid w:val="001C7F91"/>
    <w:rsid w:val="001D3385"/>
    <w:rsid w:val="001D35FE"/>
    <w:rsid w:val="001D3FAA"/>
    <w:rsid w:val="001D74D4"/>
    <w:rsid w:val="001D75A1"/>
    <w:rsid w:val="001E2EDD"/>
    <w:rsid w:val="001E4D6A"/>
    <w:rsid w:val="001E6CF0"/>
    <w:rsid w:val="001F3B3A"/>
    <w:rsid w:val="001F6EB4"/>
    <w:rsid w:val="0020549E"/>
    <w:rsid w:val="00206AC7"/>
    <w:rsid w:val="00213748"/>
    <w:rsid w:val="002213EF"/>
    <w:rsid w:val="002257B8"/>
    <w:rsid w:val="002332B5"/>
    <w:rsid w:val="0023557C"/>
    <w:rsid w:val="00236D89"/>
    <w:rsid w:val="002448C9"/>
    <w:rsid w:val="00246A0A"/>
    <w:rsid w:val="00246CD5"/>
    <w:rsid w:val="002508A3"/>
    <w:rsid w:val="00251A2F"/>
    <w:rsid w:val="0025348F"/>
    <w:rsid w:val="0025654C"/>
    <w:rsid w:val="0027095F"/>
    <w:rsid w:val="00271310"/>
    <w:rsid w:val="0027395A"/>
    <w:rsid w:val="00274EE1"/>
    <w:rsid w:val="002827BB"/>
    <w:rsid w:val="002849E8"/>
    <w:rsid w:val="0028783A"/>
    <w:rsid w:val="00291E82"/>
    <w:rsid w:val="0029510A"/>
    <w:rsid w:val="00296DDE"/>
    <w:rsid w:val="002A3045"/>
    <w:rsid w:val="002A4612"/>
    <w:rsid w:val="002A5D7D"/>
    <w:rsid w:val="002A6A4B"/>
    <w:rsid w:val="002B34AD"/>
    <w:rsid w:val="002B6811"/>
    <w:rsid w:val="002B775C"/>
    <w:rsid w:val="002C2761"/>
    <w:rsid w:val="002C27C2"/>
    <w:rsid w:val="002D034D"/>
    <w:rsid w:val="002D4456"/>
    <w:rsid w:val="002E10EB"/>
    <w:rsid w:val="002E1AB9"/>
    <w:rsid w:val="002E4A90"/>
    <w:rsid w:val="002E5BE0"/>
    <w:rsid w:val="002E737B"/>
    <w:rsid w:val="002F1A64"/>
    <w:rsid w:val="002F1C92"/>
    <w:rsid w:val="002F458E"/>
    <w:rsid w:val="002F67B1"/>
    <w:rsid w:val="002F6A3C"/>
    <w:rsid w:val="0030721E"/>
    <w:rsid w:val="0031367E"/>
    <w:rsid w:val="003167E2"/>
    <w:rsid w:val="00320F95"/>
    <w:rsid w:val="0032641A"/>
    <w:rsid w:val="00332CAF"/>
    <w:rsid w:val="00333698"/>
    <w:rsid w:val="00335EC9"/>
    <w:rsid w:val="00340A8C"/>
    <w:rsid w:val="003415BB"/>
    <w:rsid w:val="00341B16"/>
    <w:rsid w:val="00343AA5"/>
    <w:rsid w:val="003448A8"/>
    <w:rsid w:val="0034500E"/>
    <w:rsid w:val="00350272"/>
    <w:rsid w:val="00351139"/>
    <w:rsid w:val="00351E79"/>
    <w:rsid w:val="003635B1"/>
    <w:rsid w:val="0036733E"/>
    <w:rsid w:val="003676A1"/>
    <w:rsid w:val="00370470"/>
    <w:rsid w:val="00375304"/>
    <w:rsid w:val="00377C59"/>
    <w:rsid w:val="00382626"/>
    <w:rsid w:val="003830E0"/>
    <w:rsid w:val="003904F9"/>
    <w:rsid w:val="003923B4"/>
    <w:rsid w:val="00392D4D"/>
    <w:rsid w:val="003B2BC0"/>
    <w:rsid w:val="003B3A76"/>
    <w:rsid w:val="003B4133"/>
    <w:rsid w:val="003B4A36"/>
    <w:rsid w:val="003B7354"/>
    <w:rsid w:val="003C316C"/>
    <w:rsid w:val="003D250B"/>
    <w:rsid w:val="003D3C6C"/>
    <w:rsid w:val="003D5A41"/>
    <w:rsid w:val="003E320E"/>
    <w:rsid w:val="003E4D87"/>
    <w:rsid w:val="003F06A2"/>
    <w:rsid w:val="003F1432"/>
    <w:rsid w:val="003F5991"/>
    <w:rsid w:val="00400CBB"/>
    <w:rsid w:val="004073B9"/>
    <w:rsid w:val="00411F09"/>
    <w:rsid w:val="0041238E"/>
    <w:rsid w:val="00413C5C"/>
    <w:rsid w:val="0041429E"/>
    <w:rsid w:val="00415309"/>
    <w:rsid w:val="004160C2"/>
    <w:rsid w:val="0042261A"/>
    <w:rsid w:val="004239DE"/>
    <w:rsid w:val="00427AEB"/>
    <w:rsid w:val="004347F2"/>
    <w:rsid w:val="00436F48"/>
    <w:rsid w:val="004425A6"/>
    <w:rsid w:val="00444B11"/>
    <w:rsid w:val="004469DB"/>
    <w:rsid w:val="00447782"/>
    <w:rsid w:val="0045582C"/>
    <w:rsid w:val="00462165"/>
    <w:rsid w:val="00463F07"/>
    <w:rsid w:val="004660DB"/>
    <w:rsid w:val="00472A14"/>
    <w:rsid w:val="00474E05"/>
    <w:rsid w:val="00481902"/>
    <w:rsid w:val="0048376A"/>
    <w:rsid w:val="00486927"/>
    <w:rsid w:val="00490237"/>
    <w:rsid w:val="00491708"/>
    <w:rsid w:val="00491C99"/>
    <w:rsid w:val="0049282D"/>
    <w:rsid w:val="00492BC6"/>
    <w:rsid w:val="00493BD0"/>
    <w:rsid w:val="004A3408"/>
    <w:rsid w:val="004A5346"/>
    <w:rsid w:val="004A7CEB"/>
    <w:rsid w:val="004B153E"/>
    <w:rsid w:val="004B2DF6"/>
    <w:rsid w:val="004B42B7"/>
    <w:rsid w:val="004C0B47"/>
    <w:rsid w:val="004C1243"/>
    <w:rsid w:val="004D2916"/>
    <w:rsid w:val="004D3A51"/>
    <w:rsid w:val="004D697B"/>
    <w:rsid w:val="004E1C73"/>
    <w:rsid w:val="004E352E"/>
    <w:rsid w:val="004E67CC"/>
    <w:rsid w:val="004F01A5"/>
    <w:rsid w:val="004F1211"/>
    <w:rsid w:val="004F33ED"/>
    <w:rsid w:val="004F4618"/>
    <w:rsid w:val="004F7FEE"/>
    <w:rsid w:val="00501730"/>
    <w:rsid w:val="0050546C"/>
    <w:rsid w:val="00507927"/>
    <w:rsid w:val="00516083"/>
    <w:rsid w:val="00522C42"/>
    <w:rsid w:val="00525E6B"/>
    <w:rsid w:val="00526283"/>
    <w:rsid w:val="0053005B"/>
    <w:rsid w:val="00540870"/>
    <w:rsid w:val="00543373"/>
    <w:rsid w:val="00556686"/>
    <w:rsid w:val="005579E4"/>
    <w:rsid w:val="00557F9B"/>
    <w:rsid w:val="00562C45"/>
    <w:rsid w:val="00566BE6"/>
    <w:rsid w:val="00567822"/>
    <w:rsid w:val="00571BF3"/>
    <w:rsid w:val="00573D97"/>
    <w:rsid w:val="00575829"/>
    <w:rsid w:val="005776CE"/>
    <w:rsid w:val="00581A0E"/>
    <w:rsid w:val="00583BC9"/>
    <w:rsid w:val="00586224"/>
    <w:rsid w:val="00596B1D"/>
    <w:rsid w:val="005A1D61"/>
    <w:rsid w:val="005A5E70"/>
    <w:rsid w:val="005A7B2C"/>
    <w:rsid w:val="005A7B6F"/>
    <w:rsid w:val="005B586B"/>
    <w:rsid w:val="005C10CA"/>
    <w:rsid w:val="005D1D09"/>
    <w:rsid w:val="005D3A11"/>
    <w:rsid w:val="005D4007"/>
    <w:rsid w:val="005E0330"/>
    <w:rsid w:val="005E4633"/>
    <w:rsid w:val="005E4CD6"/>
    <w:rsid w:val="005F229D"/>
    <w:rsid w:val="005F590E"/>
    <w:rsid w:val="00600022"/>
    <w:rsid w:val="00600CA0"/>
    <w:rsid w:val="00600EF6"/>
    <w:rsid w:val="00603B94"/>
    <w:rsid w:val="0060462F"/>
    <w:rsid w:val="00604BAC"/>
    <w:rsid w:val="00606B00"/>
    <w:rsid w:val="00610112"/>
    <w:rsid w:val="00626A39"/>
    <w:rsid w:val="00632A63"/>
    <w:rsid w:val="00633800"/>
    <w:rsid w:val="006346D0"/>
    <w:rsid w:val="0063562E"/>
    <w:rsid w:val="00642983"/>
    <w:rsid w:val="00643D75"/>
    <w:rsid w:val="00646C78"/>
    <w:rsid w:val="0065066F"/>
    <w:rsid w:val="00650EA7"/>
    <w:rsid w:val="00651F93"/>
    <w:rsid w:val="00653891"/>
    <w:rsid w:val="00656777"/>
    <w:rsid w:val="00657148"/>
    <w:rsid w:val="0066180B"/>
    <w:rsid w:val="0066208C"/>
    <w:rsid w:val="00665B4E"/>
    <w:rsid w:val="00666F5B"/>
    <w:rsid w:val="00670283"/>
    <w:rsid w:val="006707A9"/>
    <w:rsid w:val="006813E3"/>
    <w:rsid w:val="00682567"/>
    <w:rsid w:val="006851D1"/>
    <w:rsid w:val="00687518"/>
    <w:rsid w:val="00687EBA"/>
    <w:rsid w:val="006949F7"/>
    <w:rsid w:val="006A4131"/>
    <w:rsid w:val="006A683E"/>
    <w:rsid w:val="006B0B4B"/>
    <w:rsid w:val="006B4BDD"/>
    <w:rsid w:val="006B6C14"/>
    <w:rsid w:val="006B7B3A"/>
    <w:rsid w:val="006C11E3"/>
    <w:rsid w:val="006C2101"/>
    <w:rsid w:val="006C3C4D"/>
    <w:rsid w:val="006C44E6"/>
    <w:rsid w:val="006C6D80"/>
    <w:rsid w:val="006C70BE"/>
    <w:rsid w:val="006C7B30"/>
    <w:rsid w:val="006D3B32"/>
    <w:rsid w:val="006D4E62"/>
    <w:rsid w:val="006E38E5"/>
    <w:rsid w:val="006F4BC0"/>
    <w:rsid w:val="0070093B"/>
    <w:rsid w:val="00700AC4"/>
    <w:rsid w:val="00712760"/>
    <w:rsid w:val="00721C7F"/>
    <w:rsid w:val="00726114"/>
    <w:rsid w:val="0072678B"/>
    <w:rsid w:val="0073219B"/>
    <w:rsid w:val="007363EA"/>
    <w:rsid w:val="00740972"/>
    <w:rsid w:val="00740BC9"/>
    <w:rsid w:val="007426A1"/>
    <w:rsid w:val="00742967"/>
    <w:rsid w:val="00743024"/>
    <w:rsid w:val="00743178"/>
    <w:rsid w:val="00744524"/>
    <w:rsid w:val="007448B2"/>
    <w:rsid w:val="00744AE2"/>
    <w:rsid w:val="00751EC3"/>
    <w:rsid w:val="00756568"/>
    <w:rsid w:val="0076039D"/>
    <w:rsid w:val="007648D5"/>
    <w:rsid w:val="0077240B"/>
    <w:rsid w:val="00773214"/>
    <w:rsid w:val="00774185"/>
    <w:rsid w:val="00777F24"/>
    <w:rsid w:val="007807FF"/>
    <w:rsid w:val="007907F8"/>
    <w:rsid w:val="007979E5"/>
    <w:rsid w:val="00797D8B"/>
    <w:rsid w:val="007A120B"/>
    <w:rsid w:val="007A1C82"/>
    <w:rsid w:val="007A4373"/>
    <w:rsid w:val="007B4130"/>
    <w:rsid w:val="007B455A"/>
    <w:rsid w:val="007B607A"/>
    <w:rsid w:val="007B6AE3"/>
    <w:rsid w:val="007C2186"/>
    <w:rsid w:val="007C3DFC"/>
    <w:rsid w:val="007D179A"/>
    <w:rsid w:val="007D433C"/>
    <w:rsid w:val="007D6E91"/>
    <w:rsid w:val="007E47D6"/>
    <w:rsid w:val="007F198F"/>
    <w:rsid w:val="007F1FF0"/>
    <w:rsid w:val="007F59AE"/>
    <w:rsid w:val="007F65CB"/>
    <w:rsid w:val="00801282"/>
    <w:rsid w:val="0080305E"/>
    <w:rsid w:val="00806BDC"/>
    <w:rsid w:val="008115F0"/>
    <w:rsid w:val="00816AF6"/>
    <w:rsid w:val="008218C2"/>
    <w:rsid w:val="008324F9"/>
    <w:rsid w:val="008345C9"/>
    <w:rsid w:val="008346AB"/>
    <w:rsid w:val="0083635F"/>
    <w:rsid w:val="00840697"/>
    <w:rsid w:val="00843E2C"/>
    <w:rsid w:val="00844FE1"/>
    <w:rsid w:val="00855AE9"/>
    <w:rsid w:val="0085697B"/>
    <w:rsid w:val="00860AD9"/>
    <w:rsid w:val="008642A5"/>
    <w:rsid w:val="00867AD0"/>
    <w:rsid w:val="0087156E"/>
    <w:rsid w:val="0087215A"/>
    <w:rsid w:val="00873889"/>
    <w:rsid w:val="0087435C"/>
    <w:rsid w:val="00875117"/>
    <w:rsid w:val="008812E4"/>
    <w:rsid w:val="00884960"/>
    <w:rsid w:val="00886830"/>
    <w:rsid w:val="00886842"/>
    <w:rsid w:val="00887F1A"/>
    <w:rsid w:val="00890947"/>
    <w:rsid w:val="00896362"/>
    <w:rsid w:val="008A2A3B"/>
    <w:rsid w:val="008A55C6"/>
    <w:rsid w:val="008A562B"/>
    <w:rsid w:val="008A5950"/>
    <w:rsid w:val="008B131E"/>
    <w:rsid w:val="008B3C58"/>
    <w:rsid w:val="008B5866"/>
    <w:rsid w:val="008C09BB"/>
    <w:rsid w:val="008C0D76"/>
    <w:rsid w:val="008C5738"/>
    <w:rsid w:val="008D25BA"/>
    <w:rsid w:val="008D43D7"/>
    <w:rsid w:val="008D59C1"/>
    <w:rsid w:val="008D73C9"/>
    <w:rsid w:val="008E19AE"/>
    <w:rsid w:val="008E33E6"/>
    <w:rsid w:val="008E3D1B"/>
    <w:rsid w:val="008E61B7"/>
    <w:rsid w:val="008E73BB"/>
    <w:rsid w:val="00901951"/>
    <w:rsid w:val="00901AE4"/>
    <w:rsid w:val="009032C4"/>
    <w:rsid w:val="00904C25"/>
    <w:rsid w:val="00930992"/>
    <w:rsid w:val="00932BC8"/>
    <w:rsid w:val="00932C78"/>
    <w:rsid w:val="00933F8C"/>
    <w:rsid w:val="00934160"/>
    <w:rsid w:val="0094588F"/>
    <w:rsid w:val="00946326"/>
    <w:rsid w:val="009468D1"/>
    <w:rsid w:val="00957168"/>
    <w:rsid w:val="009601CF"/>
    <w:rsid w:val="00963F65"/>
    <w:rsid w:val="009719B2"/>
    <w:rsid w:val="00971CB5"/>
    <w:rsid w:val="00982406"/>
    <w:rsid w:val="00986677"/>
    <w:rsid w:val="00986F78"/>
    <w:rsid w:val="009872D4"/>
    <w:rsid w:val="00993918"/>
    <w:rsid w:val="00994D10"/>
    <w:rsid w:val="00997F19"/>
    <w:rsid w:val="009A221D"/>
    <w:rsid w:val="009A264C"/>
    <w:rsid w:val="009A3203"/>
    <w:rsid w:val="009A385A"/>
    <w:rsid w:val="009A6540"/>
    <w:rsid w:val="009B5AAC"/>
    <w:rsid w:val="009B7501"/>
    <w:rsid w:val="009B7BF4"/>
    <w:rsid w:val="009C15AE"/>
    <w:rsid w:val="009C421A"/>
    <w:rsid w:val="009C4269"/>
    <w:rsid w:val="009D6857"/>
    <w:rsid w:val="009D7779"/>
    <w:rsid w:val="009E1F68"/>
    <w:rsid w:val="009E46DA"/>
    <w:rsid w:val="009E4B21"/>
    <w:rsid w:val="009E63D6"/>
    <w:rsid w:val="009F182F"/>
    <w:rsid w:val="00A00F6D"/>
    <w:rsid w:val="00A01EA5"/>
    <w:rsid w:val="00A04468"/>
    <w:rsid w:val="00A04DEE"/>
    <w:rsid w:val="00A062E3"/>
    <w:rsid w:val="00A17C7C"/>
    <w:rsid w:val="00A33213"/>
    <w:rsid w:val="00A33361"/>
    <w:rsid w:val="00A37316"/>
    <w:rsid w:val="00A444B8"/>
    <w:rsid w:val="00A44EA1"/>
    <w:rsid w:val="00A4511A"/>
    <w:rsid w:val="00A46CEB"/>
    <w:rsid w:val="00A47B60"/>
    <w:rsid w:val="00A50FDC"/>
    <w:rsid w:val="00A51583"/>
    <w:rsid w:val="00A51DD2"/>
    <w:rsid w:val="00A56D24"/>
    <w:rsid w:val="00A63044"/>
    <w:rsid w:val="00A67A13"/>
    <w:rsid w:val="00A7281A"/>
    <w:rsid w:val="00A752B0"/>
    <w:rsid w:val="00A819E1"/>
    <w:rsid w:val="00A83821"/>
    <w:rsid w:val="00A83899"/>
    <w:rsid w:val="00A872FC"/>
    <w:rsid w:val="00A9081E"/>
    <w:rsid w:val="00A90B8C"/>
    <w:rsid w:val="00A94AFD"/>
    <w:rsid w:val="00AA65D7"/>
    <w:rsid w:val="00AB067E"/>
    <w:rsid w:val="00AB1690"/>
    <w:rsid w:val="00AB1E32"/>
    <w:rsid w:val="00AB1E57"/>
    <w:rsid w:val="00AB28C7"/>
    <w:rsid w:val="00AB75CF"/>
    <w:rsid w:val="00AC0AEC"/>
    <w:rsid w:val="00AC2EDC"/>
    <w:rsid w:val="00AC6BA2"/>
    <w:rsid w:val="00AD5B2D"/>
    <w:rsid w:val="00AE3A97"/>
    <w:rsid w:val="00AE4C60"/>
    <w:rsid w:val="00AF5B54"/>
    <w:rsid w:val="00AF5E2A"/>
    <w:rsid w:val="00AF5F0D"/>
    <w:rsid w:val="00AF7878"/>
    <w:rsid w:val="00B02952"/>
    <w:rsid w:val="00B03CC8"/>
    <w:rsid w:val="00B13576"/>
    <w:rsid w:val="00B1634F"/>
    <w:rsid w:val="00B21001"/>
    <w:rsid w:val="00B223D7"/>
    <w:rsid w:val="00B22AAA"/>
    <w:rsid w:val="00B22B69"/>
    <w:rsid w:val="00B30001"/>
    <w:rsid w:val="00B302BA"/>
    <w:rsid w:val="00B45224"/>
    <w:rsid w:val="00B46E7E"/>
    <w:rsid w:val="00B52F0D"/>
    <w:rsid w:val="00B53F26"/>
    <w:rsid w:val="00B54AB0"/>
    <w:rsid w:val="00B56205"/>
    <w:rsid w:val="00B5642E"/>
    <w:rsid w:val="00B61174"/>
    <w:rsid w:val="00B616B2"/>
    <w:rsid w:val="00B648B8"/>
    <w:rsid w:val="00B66FA1"/>
    <w:rsid w:val="00B737FE"/>
    <w:rsid w:val="00B75842"/>
    <w:rsid w:val="00B75D45"/>
    <w:rsid w:val="00B77718"/>
    <w:rsid w:val="00B84508"/>
    <w:rsid w:val="00B87F2F"/>
    <w:rsid w:val="00B91920"/>
    <w:rsid w:val="00B93740"/>
    <w:rsid w:val="00BA271B"/>
    <w:rsid w:val="00BB009D"/>
    <w:rsid w:val="00BC6286"/>
    <w:rsid w:val="00BD0E76"/>
    <w:rsid w:val="00BD2310"/>
    <w:rsid w:val="00BD2B27"/>
    <w:rsid w:val="00BE49AB"/>
    <w:rsid w:val="00BE4A78"/>
    <w:rsid w:val="00BE7D07"/>
    <w:rsid w:val="00BF0474"/>
    <w:rsid w:val="00BF57D3"/>
    <w:rsid w:val="00BF6330"/>
    <w:rsid w:val="00BF6C3A"/>
    <w:rsid w:val="00C07D7F"/>
    <w:rsid w:val="00C108C1"/>
    <w:rsid w:val="00C22E60"/>
    <w:rsid w:val="00C24859"/>
    <w:rsid w:val="00C27443"/>
    <w:rsid w:val="00C3357B"/>
    <w:rsid w:val="00C36E8F"/>
    <w:rsid w:val="00C36E9D"/>
    <w:rsid w:val="00C373C6"/>
    <w:rsid w:val="00C41F2B"/>
    <w:rsid w:val="00C45770"/>
    <w:rsid w:val="00C4782E"/>
    <w:rsid w:val="00C5290F"/>
    <w:rsid w:val="00C52D97"/>
    <w:rsid w:val="00C53ABF"/>
    <w:rsid w:val="00C56D28"/>
    <w:rsid w:val="00C607B3"/>
    <w:rsid w:val="00C609BF"/>
    <w:rsid w:val="00C62EB2"/>
    <w:rsid w:val="00C66630"/>
    <w:rsid w:val="00C7259B"/>
    <w:rsid w:val="00C72F9B"/>
    <w:rsid w:val="00C8006B"/>
    <w:rsid w:val="00C90147"/>
    <w:rsid w:val="00C91479"/>
    <w:rsid w:val="00C915BA"/>
    <w:rsid w:val="00C924AF"/>
    <w:rsid w:val="00C93578"/>
    <w:rsid w:val="00C95B54"/>
    <w:rsid w:val="00C95B71"/>
    <w:rsid w:val="00C95E78"/>
    <w:rsid w:val="00CA00F1"/>
    <w:rsid w:val="00CA11BA"/>
    <w:rsid w:val="00CA1270"/>
    <w:rsid w:val="00CA2874"/>
    <w:rsid w:val="00CA3A8A"/>
    <w:rsid w:val="00CA7D57"/>
    <w:rsid w:val="00CB4976"/>
    <w:rsid w:val="00CB4B45"/>
    <w:rsid w:val="00CB4D9C"/>
    <w:rsid w:val="00CB7D75"/>
    <w:rsid w:val="00CC3622"/>
    <w:rsid w:val="00CD36FA"/>
    <w:rsid w:val="00CD7A78"/>
    <w:rsid w:val="00CE1276"/>
    <w:rsid w:val="00CE292D"/>
    <w:rsid w:val="00CF2AF9"/>
    <w:rsid w:val="00CF323B"/>
    <w:rsid w:val="00CF4CE5"/>
    <w:rsid w:val="00CF646A"/>
    <w:rsid w:val="00D01629"/>
    <w:rsid w:val="00D02DF1"/>
    <w:rsid w:val="00D04249"/>
    <w:rsid w:val="00D046B0"/>
    <w:rsid w:val="00D04D6B"/>
    <w:rsid w:val="00D06130"/>
    <w:rsid w:val="00D17BFA"/>
    <w:rsid w:val="00D2082F"/>
    <w:rsid w:val="00D32DDA"/>
    <w:rsid w:val="00D3421A"/>
    <w:rsid w:val="00D37B6D"/>
    <w:rsid w:val="00D41F3A"/>
    <w:rsid w:val="00D42FA8"/>
    <w:rsid w:val="00D51F58"/>
    <w:rsid w:val="00D54459"/>
    <w:rsid w:val="00D57332"/>
    <w:rsid w:val="00D63984"/>
    <w:rsid w:val="00D66E4D"/>
    <w:rsid w:val="00D81B83"/>
    <w:rsid w:val="00D81BF9"/>
    <w:rsid w:val="00D861A1"/>
    <w:rsid w:val="00D9097E"/>
    <w:rsid w:val="00D9416C"/>
    <w:rsid w:val="00D96C03"/>
    <w:rsid w:val="00DA2BAE"/>
    <w:rsid w:val="00DA56FE"/>
    <w:rsid w:val="00DB326E"/>
    <w:rsid w:val="00DC5FF8"/>
    <w:rsid w:val="00DC7615"/>
    <w:rsid w:val="00DD0B68"/>
    <w:rsid w:val="00DD1BFF"/>
    <w:rsid w:val="00DD5D67"/>
    <w:rsid w:val="00DE1DDC"/>
    <w:rsid w:val="00DE4BFA"/>
    <w:rsid w:val="00DE54C1"/>
    <w:rsid w:val="00DE57F2"/>
    <w:rsid w:val="00DE5DED"/>
    <w:rsid w:val="00DF111A"/>
    <w:rsid w:val="00DF1AB4"/>
    <w:rsid w:val="00DF3795"/>
    <w:rsid w:val="00DF4795"/>
    <w:rsid w:val="00DF7B60"/>
    <w:rsid w:val="00E079C5"/>
    <w:rsid w:val="00E11C5E"/>
    <w:rsid w:val="00E1649E"/>
    <w:rsid w:val="00E223C3"/>
    <w:rsid w:val="00E241D6"/>
    <w:rsid w:val="00E250D6"/>
    <w:rsid w:val="00E2715B"/>
    <w:rsid w:val="00E275B8"/>
    <w:rsid w:val="00E41FA7"/>
    <w:rsid w:val="00E42786"/>
    <w:rsid w:val="00E45B92"/>
    <w:rsid w:val="00E604A5"/>
    <w:rsid w:val="00E7105E"/>
    <w:rsid w:val="00E7702F"/>
    <w:rsid w:val="00E7758E"/>
    <w:rsid w:val="00E80172"/>
    <w:rsid w:val="00E80D7F"/>
    <w:rsid w:val="00E84D60"/>
    <w:rsid w:val="00E92948"/>
    <w:rsid w:val="00E93746"/>
    <w:rsid w:val="00E95A3B"/>
    <w:rsid w:val="00E97390"/>
    <w:rsid w:val="00EB2034"/>
    <w:rsid w:val="00EB3174"/>
    <w:rsid w:val="00EB3623"/>
    <w:rsid w:val="00EB66CC"/>
    <w:rsid w:val="00EC401D"/>
    <w:rsid w:val="00EC406E"/>
    <w:rsid w:val="00EC4A32"/>
    <w:rsid w:val="00ED16E9"/>
    <w:rsid w:val="00EE0D2D"/>
    <w:rsid w:val="00EE11E5"/>
    <w:rsid w:val="00EE40E8"/>
    <w:rsid w:val="00EE71E2"/>
    <w:rsid w:val="00EE7BA3"/>
    <w:rsid w:val="00EF635E"/>
    <w:rsid w:val="00EF72C1"/>
    <w:rsid w:val="00F0167E"/>
    <w:rsid w:val="00F020FD"/>
    <w:rsid w:val="00F0324E"/>
    <w:rsid w:val="00F03DCE"/>
    <w:rsid w:val="00F045D9"/>
    <w:rsid w:val="00F0461B"/>
    <w:rsid w:val="00F066B8"/>
    <w:rsid w:val="00F07C93"/>
    <w:rsid w:val="00F15D8F"/>
    <w:rsid w:val="00F15D95"/>
    <w:rsid w:val="00F235F4"/>
    <w:rsid w:val="00F2444B"/>
    <w:rsid w:val="00F31BFC"/>
    <w:rsid w:val="00F35F39"/>
    <w:rsid w:val="00F37CF8"/>
    <w:rsid w:val="00F403B5"/>
    <w:rsid w:val="00F418CF"/>
    <w:rsid w:val="00F429B7"/>
    <w:rsid w:val="00F43CEB"/>
    <w:rsid w:val="00F445B1"/>
    <w:rsid w:val="00F45C65"/>
    <w:rsid w:val="00F47621"/>
    <w:rsid w:val="00F5171B"/>
    <w:rsid w:val="00F51B07"/>
    <w:rsid w:val="00F53A7E"/>
    <w:rsid w:val="00F53E69"/>
    <w:rsid w:val="00F57337"/>
    <w:rsid w:val="00F57AA2"/>
    <w:rsid w:val="00F608F9"/>
    <w:rsid w:val="00F61DC5"/>
    <w:rsid w:val="00F65D40"/>
    <w:rsid w:val="00F705C5"/>
    <w:rsid w:val="00F71F9D"/>
    <w:rsid w:val="00F82EC7"/>
    <w:rsid w:val="00F90DAE"/>
    <w:rsid w:val="00F9264E"/>
    <w:rsid w:val="00F95017"/>
    <w:rsid w:val="00F95BD5"/>
    <w:rsid w:val="00F96C09"/>
    <w:rsid w:val="00F977A6"/>
    <w:rsid w:val="00FA42ED"/>
    <w:rsid w:val="00FA4740"/>
    <w:rsid w:val="00FB0CD3"/>
    <w:rsid w:val="00FB15ED"/>
    <w:rsid w:val="00FB53FC"/>
    <w:rsid w:val="00FB784C"/>
    <w:rsid w:val="00FC0130"/>
    <w:rsid w:val="00FD1993"/>
    <w:rsid w:val="00FD2429"/>
    <w:rsid w:val="00FD46CF"/>
    <w:rsid w:val="00FD60F1"/>
    <w:rsid w:val="00FD6D0B"/>
    <w:rsid w:val="00FE09E4"/>
    <w:rsid w:val="00FE74F1"/>
    <w:rsid w:val="00FF4C31"/>
    <w:rsid w:val="00FF60BA"/>
    <w:rsid w:val="00FF6157"/>
    <w:rsid w:val="00FF77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0A65F"/>
  <w15:chartTrackingRefBased/>
  <w15:docId w15:val="{FE124D77-190F-4D4A-9D0F-4B0CB847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02"/>
    <w:rPr>
      <w:rFonts w:ascii="Tahoma" w:hAnsi="Tahoma"/>
      <w:b/>
      <w:sz w:val="24"/>
      <w:szCs w:val="24"/>
    </w:rPr>
  </w:style>
  <w:style w:type="paragraph" w:styleId="Ttulo2">
    <w:name w:val="heading 2"/>
    <w:basedOn w:val="Normal"/>
    <w:next w:val="Normal"/>
    <w:qFormat/>
    <w:rsid w:val="004A5346"/>
    <w:pPr>
      <w:keepNext/>
      <w:jc w:val="both"/>
      <w:outlineLvl w:val="1"/>
    </w:pPr>
    <w:rPr>
      <w:rFonts w:cs="Tahoma"/>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616B2"/>
    <w:pPr>
      <w:tabs>
        <w:tab w:val="center" w:pos="4419"/>
        <w:tab w:val="right" w:pos="8838"/>
      </w:tabs>
    </w:pPr>
  </w:style>
  <w:style w:type="paragraph" w:styleId="Piedepgina">
    <w:name w:val="footer"/>
    <w:basedOn w:val="Normal"/>
    <w:link w:val="PiedepginaCar"/>
    <w:uiPriority w:val="99"/>
    <w:rsid w:val="00B616B2"/>
    <w:pPr>
      <w:tabs>
        <w:tab w:val="center" w:pos="4419"/>
        <w:tab w:val="right" w:pos="8838"/>
      </w:tabs>
    </w:pPr>
  </w:style>
  <w:style w:type="paragraph" w:styleId="Prrafodelista">
    <w:name w:val="List Paragraph"/>
    <w:basedOn w:val="Normal"/>
    <w:uiPriority w:val="34"/>
    <w:qFormat/>
    <w:rsid w:val="00B61174"/>
    <w:pPr>
      <w:ind w:left="708"/>
    </w:pPr>
  </w:style>
  <w:style w:type="paragraph" w:styleId="Textodeglobo">
    <w:name w:val="Balloon Text"/>
    <w:basedOn w:val="Normal"/>
    <w:link w:val="TextodegloboCar"/>
    <w:rsid w:val="00B75842"/>
    <w:rPr>
      <w:sz w:val="16"/>
      <w:szCs w:val="16"/>
    </w:rPr>
  </w:style>
  <w:style w:type="character" w:customStyle="1" w:styleId="TextodegloboCar">
    <w:name w:val="Texto de globo Car"/>
    <w:link w:val="Textodeglobo"/>
    <w:rsid w:val="00B75842"/>
    <w:rPr>
      <w:rFonts w:ascii="Tahoma" w:hAnsi="Tahoma" w:cs="Tahoma"/>
      <w:b/>
      <w:sz w:val="16"/>
      <w:szCs w:val="16"/>
      <w:lang w:val="es-CO" w:eastAsia="es-CO"/>
    </w:rPr>
  </w:style>
  <w:style w:type="table" w:styleId="Tablaconcuadrcula">
    <w:name w:val="Table Grid"/>
    <w:basedOn w:val="Tablanormal"/>
    <w:uiPriority w:val="39"/>
    <w:rsid w:val="00D57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D57332"/>
    <w:rPr>
      <w:rFonts w:ascii="Tahoma" w:hAnsi="Tahoma"/>
      <w:b/>
      <w:sz w:val="24"/>
      <w:szCs w:val="24"/>
    </w:rPr>
  </w:style>
  <w:style w:type="character" w:customStyle="1" w:styleId="PiedepginaCar">
    <w:name w:val="Pie de página Car"/>
    <w:link w:val="Piedepgina"/>
    <w:uiPriority w:val="99"/>
    <w:rsid w:val="005A5E70"/>
    <w:rPr>
      <w:rFonts w:ascii="Tahoma" w:hAnsi="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2202">
      <w:bodyDiv w:val="1"/>
      <w:marLeft w:val="0"/>
      <w:marRight w:val="0"/>
      <w:marTop w:val="0"/>
      <w:marBottom w:val="0"/>
      <w:divBdr>
        <w:top w:val="none" w:sz="0" w:space="0" w:color="auto"/>
        <w:left w:val="none" w:sz="0" w:space="0" w:color="auto"/>
        <w:bottom w:val="none" w:sz="0" w:space="0" w:color="auto"/>
        <w:right w:val="none" w:sz="0" w:space="0" w:color="auto"/>
      </w:divBdr>
    </w:div>
    <w:div w:id="15611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9422-5C66-4168-88EC-2CF0A1D4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1258</Words>
  <Characters>6920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Bucaramanga, 28 de Febrero de 2008</vt:lpstr>
    </vt:vector>
  </TitlesOfParts>
  <Company>INDERBU</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28 de Febrero de 2008</dc:title>
  <dc:subject/>
  <dc:creator>Formacion</dc:creator>
  <cp:keywords/>
  <cp:lastModifiedBy>Edwin Alberto Avila Ramos</cp:lastModifiedBy>
  <cp:revision>10</cp:revision>
  <cp:lastPrinted>2019-01-16T13:29:00Z</cp:lastPrinted>
  <dcterms:created xsi:type="dcterms:W3CDTF">2021-10-25T14:58:00Z</dcterms:created>
  <dcterms:modified xsi:type="dcterms:W3CDTF">2021-10-25T20:02:00Z</dcterms:modified>
</cp:coreProperties>
</file>